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66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抚顺市推进重点领域盘活存量资产</w:t>
      </w:r>
    </w:p>
    <w:p>
      <w:pPr>
        <w:keepNext w:val="0"/>
        <w:keepLines w:val="0"/>
        <w:pageBreakBefore w:val="0"/>
        <w:widowControl w:val="0"/>
        <w:kinsoku/>
        <w:wordWrap/>
        <w:overflowPunct w:val="0"/>
        <w:topLinePunct w:val="0"/>
        <w:autoSpaceDE/>
        <w:autoSpaceDN/>
        <w:bidi w:val="0"/>
        <w:adjustRightInd/>
        <w:snapToGrid/>
        <w:spacing w:line="66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扩大有效投资实施方案</w:t>
      </w:r>
    </w:p>
    <w:p>
      <w:pPr>
        <w:keepNext w:val="0"/>
        <w:keepLines w:val="0"/>
        <w:pageBreakBefore w:val="0"/>
        <w:widowControl w:val="0"/>
        <w:kinsoku/>
        <w:wordWrap/>
        <w:overflowPunct w:val="0"/>
        <w:topLinePunct w:val="0"/>
        <w:autoSpaceDE/>
        <w:autoSpaceDN/>
        <w:bidi w:val="0"/>
        <w:adjustRightInd/>
        <w:snapToGrid/>
        <w:spacing w:line="660" w:lineRule="exact"/>
        <w:ind w:left="0" w:leftChars="0" w:right="0" w:rightChars="0" w:firstLine="640" w:firstLineChars="200"/>
        <w:jc w:val="center"/>
        <w:textAlignment w:val="auto"/>
        <w:outlineLvl w:val="9"/>
        <w:rPr>
          <w:rFonts w:hint="eastAsia" w:ascii="Times New Roman" w:hAnsi="Times New Roman" w:eastAsia="仿宋_GB2312" w:cs="Times New Roman"/>
          <w:color w:val="auto"/>
          <w:sz w:val="32"/>
          <w:szCs w:val="32"/>
          <w:highlight w:val="none"/>
          <w:lang w:eastAsia="zh-CN"/>
        </w:rPr>
      </w:pPr>
      <w:r>
        <w:rPr>
          <w:rFonts w:hint="eastAsia" w:eastAsia="仿宋_GB2312" w:cs="Times New Roman"/>
          <w:color w:val="auto"/>
          <w:sz w:val="32"/>
          <w:szCs w:val="32"/>
          <w:highlight w:val="none"/>
          <w:lang w:eastAsia="zh-CN"/>
        </w:rPr>
        <w:t>（</w:t>
      </w:r>
      <w:r>
        <w:rPr>
          <w:rFonts w:hint="eastAsia" w:ascii="方正小标宋简体" w:hAnsi="方正小标宋简体" w:eastAsia="方正小标宋简体" w:cs="方正小标宋简体"/>
          <w:b/>
          <w:bCs/>
          <w:sz w:val="36"/>
          <w:szCs w:val="36"/>
        </w:rPr>
        <w:t>征求意见稿</w:t>
      </w:r>
      <w:r>
        <w:rPr>
          <w:rFonts w:hint="eastAsia" w:eastAsia="仿宋_GB2312" w:cs="Times New Roman"/>
          <w:color w:val="auto"/>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为贯彻落实《</w:t>
      </w:r>
      <w:r>
        <w:rPr>
          <w:rFonts w:hint="eastAsia" w:ascii="仿宋" w:hAnsi="仿宋" w:eastAsia="仿宋" w:cs="仿宋"/>
          <w:color w:val="auto"/>
          <w:sz w:val="32"/>
          <w:szCs w:val="32"/>
          <w:highlight w:val="none"/>
          <w:lang w:val="en-US" w:eastAsia="zh-CN"/>
        </w:rPr>
        <w:t>辽宁省推进重点领域盘活存量资产扩大有效投资实施方案</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辽政</w:t>
      </w:r>
      <w:r>
        <w:rPr>
          <w:rFonts w:hint="eastAsia" w:ascii="仿宋" w:hAnsi="仿宋" w:eastAsia="仿宋" w:cs="仿宋"/>
          <w:color w:val="auto"/>
          <w:sz w:val="32"/>
          <w:szCs w:val="32"/>
          <w:highlight w:val="none"/>
        </w:rPr>
        <w:t>办发〔2022〕</w:t>
      </w:r>
      <w:r>
        <w:rPr>
          <w:rFonts w:hint="eastAsia" w:ascii="仿宋" w:hAnsi="仿宋" w:eastAsia="仿宋" w:cs="仿宋"/>
          <w:color w:val="auto"/>
          <w:sz w:val="32"/>
          <w:szCs w:val="32"/>
          <w:highlight w:val="none"/>
          <w:lang w:val="en-US" w:eastAsia="zh-CN"/>
        </w:rPr>
        <w:t>37</w:t>
      </w:r>
      <w:r>
        <w:rPr>
          <w:rFonts w:hint="eastAsia" w:ascii="仿宋" w:hAnsi="仿宋" w:eastAsia="仿宋" w:cs="仿宋"/>
          <w:color w:val="auto"/>
          <w:sz w:val="32"/>
          <w:szCs w:val="32"/>
          <w:highlight w:val="none"/>
        </w:rPr>
        <w:t>号），有效盘活存量资产，形成存量资产和新增投资的良性循环，</w:t>
      </w:r>
      <w:r>
        <w:rPr>
          <w:rFonts w:hint="eastAsia" w:ascii="仿宋" w:hAnsi="仿宋" w:eastAsia="仿宋" w:cs="仿宋"/>
          <w:color w:val="auto"/>
          <w:sz w:val="32"/>
          <w:szCs w:val="32"/>
          <w:highlight w:val="none"/>
          <w:lang w:val="en-US" w:eastAsia="zh-CN"/>
        </w:rPr>
        <w:t>进一步扩大有效投资，促进经济社会高质量发展，结合抚顺实际，制定本实施方案。</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一、总体要求</w:t>
      </w:r>
    </w:p>
    <w:p>
      <w:pPr>
        <w:keepNext w:val="0"/>
        <w:keepLines w:val="0"/>
        <w:pageBreakBefore w:val="0"/>
        <w:widowControl w:val="0"/>
        <w:kinsoku/>
        <w:wordWrap/>
        <w:overflowPunct w:val="0"/>
        <w:topLinePunct w:val="0"/>
        <w:autoSpaceDE/>
        <w:autoSpaceDN/>
        <w:bidi w:val="0"/>
        <w:adjustRightInd/>
        <w:snapToGrid w:val="0"/>
        <w:spacing w:line="600" w:lineRule="exact"/>
        <w:ind w:right="0" w:rightChars="0"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以习近平新时代中国特色社会主义思想为指导，深入贯彻习近平总书记关于辽宁、抚顺振兴发展的重要讲话和指示精神，完整、准确、全面贯彻新发展理念，聚焦重点领域方向，优化完善盘活方式，加大政策支持力度，加强风险防范，引导各类社会资本参与，回收资金优先支持基础设施补短板等项目建设，推动形成市场主导的投资内生增长机制，服务构建新发展格局，推动经济高质量发展。</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二、重点盘活领域</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color w:val="auto"/>
          <w:sz w:val="32"/>
          <w:szCs w:val="32"/>
          <w:highlight w:val="none"/>
          <w:lang w:val="en-US" w:eastAsia="zh-CN"/>
        </w:rPr>
        <w:t>聚焦10个重点领域，统筹谋划，有序推进，不断加大盘活存量资产扩大有效投资的力度，优先盘活建设任务重、</w:t>
      </w:r>
      <w:r>
        <w:rPr>
          <w:rFonts w:hint="eastAsia" w:ascii="仿宋" w:hAnsi="仿宋" w:eastAsia="仿宋" w:cs="仿宋"/>
          <w:b w:val="0"/>
          <w:bCs w:val="0"/>
          <w:color w:val="auto"/>
          <w:sz w:val="32"/>
          <w:szCs w:val="32"/>
          <w:highlight w:val="none"/>
          <w:lang w:val="en-US" w:eastAsia="zh-CN"/>
        </w:rPr>
        <w:t>存量规模大、资产质量好、增长潜力大的存量资产，形成示范效应。</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 w:hAnsi="仿宋" w:eastAsia="仿宋" w:cs="仿宋"/>
          <w:b w:val="0"/>
          <w:bCs w:val="0"/>
          <w:color w:val="auto"/>
          <w:sz w:val="32"/>
          <w:szCs w:val="32"/>
          <w:highlight w:val="none"/>
          <w:lang w:val="en" w:eastAsia="zh-CN"/>
        </w:rPr>
      </w:pPr>
      <w:r>
        <w:rPr>
          <w:rFonts w:hint="eastAsia" w:ascii="楷体" w:hAnsi="楷体" w:eastAsia="楷体" w:cs="楷体"/>
          <w:b/>
          <w:bCs/>
          <w:color w:val="auto"/>
          <w:sz w:val="32"/>
          <w:szCs w:val="32"/>
          <w:highlight w:val="none"/>
          <w:lang w:val="en-US" w:eastAsia="zh-CN"/>
        </w:rPr>
        <w:t>（一）交通</w:t>
      </w:r>
      <w:r>
        <w:rPr>
          <w:rFonts w:hint="eastAsia" w:ascii="楷体" w:hAnsi="楷体" w:eastAsia="楷体" w:cs="楷体"/>
          <w:b/>
          <w:bCs/>
          <w:color w:val="auto"/>
          <w:sz w:val="32"/>
          <w:szCs w:val="32"/>
          <w:highlight w:val="none"/>
          <w:lang w:val="en" w:eastAsia="zh-CN"/>
        </w:rPr>
        <w:t>运输领域。</w:t>
      </w:r>
      <w:r>
        <w:rPr>
          <w:rFonts w:hint="eastAsia" w:ascii="仿宋" w:hAnsi="仿宋" w:eastAsia="仿宋" w:cs="仿宋"/>
          <w:b w:val="0"/>
          <w:bCs w:val="0"/>
          <w:color w:val="auto"/>
          <w:sz w:val="32"/>
          <w:szCs w:val="32"/>
          <w:highlight w:val="none"/>
          <w:lang w:val="en" w:eastAsia="zh-CN"/>
        </w:rPr>
        <w:t>主要包括铁路、收费公路、城市轨道交通设施以及</w:t>
      </w:r>
      <w:r>
        <w:rPr>
          <w:rFonts w:hint="eastAsia" w:ascii="仿宋" w:hAnsi="仿宋" w:eastAsia="仿宋" w:cs="仿宋"/>
          <w:b w:val="0"/>
          <w:bCs w:val="0"/>
          <w:color w:val="auto"/>
          <w:sz w:val="32"/>
          <w:szCs w:val="32"/>
          <w:highlight w:val="none"/>
          <w:lang w:val="en-US" w:eastAsia="zh-CN"/>
        </w:rPr>
        <w:t>综合交通枢纽等</w:t>
      </w:r>
      <w:r>
        <w:rPr>
          <w:rFonts w:hint="eastAsia" w:ascii="仿宋" w:hAnsi="仿宋" w:eastAsia="仿宋" w:cs="仿宋"/>
          <w:b w:val="0"/>
          <w:bCs w:val="0"/>
          <w:color w:val="auto"/>
          <w:sz w:val="32"/>
          <w:szCs w:val="32"/>
          <w:highlight w:val="none"/>
          <w:lang w:val="en" w:eastAsia="zh-CN"/>
        </w:rPr>
        <w:t>。</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textAlignment w:val="auto"/>
        <w:outlineLvl w:val="9"/>
        <w:rPr>
          <w:rFonts w:hint="eastAsia" w:ascii="楷体" w:hAnsi="楷体" w:eastAsia="楷体" w:cs="楷体"/>
          <w:b w:val="0"/>
          <w:bCs w:val="0"/>
          <w:color w:val="auto"/>
          <w:sz w:val="32"/>
          <w:szCs w:val="32"/>
          <w:highlight w:val="none"/>
          <w:lang w:val="en-US" w:eastAsia="zh-CN"/>
        </w:rPr>
      </w:pPr>
      <w:r>
        <w:rPr>
          <w:rFonts w:hint="eastAsia" w:ascii="楷体" w:hAnsi="楷体" w:eastAsia="楷体" w:cs="楷体"/>
          <w:b w:val="0"/>
          <w:bCs w:val="0"/>
          <w:color w:val="auto"/>
          <w:sz w:val="32"/>
          <w:szCs w:val="32"/>
          <w:highlight w:val="none"/>
          <w:lang w:val="en" w:eastAsia="zh-CN"/>
        </w:rPr>
        <w:t>（牵头单位：市交通运输局、</w:t>
      </w:r>
      <w:r>
        <w:rPr>
          <w:rFonts w:hint="eastAsia" w:ascii="楷体" w:hAnsi="楷体" w:eastAsia="楷体" w:cs="楷体"/>
          <w:b w:val="0"/>
          <w:bCs w:val="0"/>
          <w:color w:val="auto"/>
          <w:sz w:val="32"/>
          <w:szCs w:val="32"/>
          <w:highlight w:val="none"/>
          <w:lang w:val="en-US" w:eastAsia="zh-CN"/>
        </w:rPr>
        <w:t>市发展改革委、市住房城乡建设局。责任单位：市国资委等相关单位，各县区政府）</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 w:hAnsi="仿宋" w:eastAsia="仿宋" w:cs="仿宋"/>
          <w:b w:val="0"/>
          <w:bCs w:val="0"/>
          <w:color w:val="auto"/>
          <w:sz w:val="32"/>
          <w:szCs w:val="32"/>
          <w:highlight w:val="none"/>
          <w:lang w:val="en" w:eastAsia="zh-CN"/>
        </w:rPr>
      </w:pPr>
      <w:r>
        <w:rPr>
          <w:rFonts w:hint="eastAsia" w:ascii="楷体" w:hAnsi="楷体" w:eastAsia="楷体" w:cs="楷体"/>
          <w:b/>
          <w:bCs/>
          <w:color w:val="auto"/>
          <w:sz w:val="32"/>
          <w:szCs w:val="32"/>
          <w:highlight w:val="none"/>
          <w:lang w:val="en-US" w:eastAsia="zh-CN"/>
        </w:rPr>
        <w:t>（二）农林水利设施</w:t>
      </w:r>
      <w:r>
        <w:rPr>
          <w:rFonts w:hint="eastAsia" w:ascii="楷体" w:hAnsi="楷体" w:eastAsia="楷体" w:cs="楷体"/>
          <w:b/>
          <w:bCs/>
          <w:color w:val="auto"/>
          <w:sz w:val="32"/>
          <w:szCs w:val="32"/>
          <w:highlight w:val="none"/>
          <w:lang w:val="en" w:eastAsia="zh-CN"/>
        </w:rPr>
        <w:t>领域。</w:t>
      </w:r>
      <w:r>
        <w:rPr>
          <w:rFonts w:hint="eastAsia" w:ascii="仿宋" w:hAnsi="仿宋" w:eastAsia="仿宋" w:cs="仿宋"/>
          <w:b w:val="0"/>
          <w:bCs w:val="0"/>
          <w:color w:val="auto"/>
          <w:sz w:val="32"/>
          <w:szCs w:val="32"/>
          <w:highlight w:val="none"/>
          <w:lang w:val="en" w:eastAsia="zh-CN"/>
        </w:rPr>
        <w:t>主要包括国有农场、国有林场、畜牧场、水产养殖场等，具有一定收益的水库、水电站、灌区、供水工程、引调水工程等水利固定资产。</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textAlignment w:val="auto"/>
        <w:outlineLvl w:val="9"/>
        <w:rPr>
          <w:rFonts w:hint="eastAsia" w:ascii="楷体" w:hAnsi="楷体" w:eastAsia="楷体" w:cs="楷体"/>
          <w:b w:val="0"/>
          <w:bCs w:val="0"/>
          <w:color w:val="auto"/>
          <w:sz w:val="32"/>
          <w:szCs w:val="32"/>
          <w:highlight w:val="none"/>
          <w:lang w:val="en" w:eastAsia="zh-CN"/>
        </w:rPr>
      </w:pPr>
      <w:r>
        <w:rPr>
          <w:rFonts w:hint="eastAsia" w:ascii="楷体" w:hAnsi="楷体" w:eastAsia="楷体" w:cs="楷体"/>
          <w:b w:val="0"/>
          <w:bCs w:val="0"/>
          <w:color w:val="auto"/>
          <w:sz w:val="32"/>
          <w:szCs w:val="32"/>
          <w:highlight w:val="none"/>
          <w:lang w:val="en" w:eastAsia="zh-CN"/>
        </w:rPr>
        <w:t>（牵头单位：市水务局、市农业农村局、市自然资源局。责任单位：市发展改革委、市国资委等</w:t>
      </w:r>
      <w:r>
        <w:rPr>
          <w:rFonts w:hint="eastAsia" w:ascii="楷体" w:hAnsi="楷体" w:eastAsia="楷体" w:cs="楷体"/>
          <w:b w:val="0"/>
          <w:bCs w:val="0"/>
          <w:color w:val="auto"/>
          <w:sz w:val="32"/>
          <w:szCs w:val="32"/>
          <w:highlight w:val="none"/>
          <w:lang w:val="en-US" w:eastAsia="zh-CN"/>
        </w:rPr>
        <w:t>相关单位</w:t>
      </w:r>
      <w:r>
        <w:rPr>
          <w:rFonts w:hint="eastAsia" w:ascii="楷体" w:hAnsi="楷体" w:eastAsia="楷体" w:cs="楷体"/>
          <w:b w:val="0"/>
          <w:bCs w:val="0"/>
          <w:color w:val="auto"/>
          <w:sz w:val="32"/>
          <w:szCs w:val="32"/>
          <w:highlight w:val="none"/>
          <w:lang w:val="en" w:eastAsia="zh-CN"/>
        </w:rPr>
        <w:t>，</w:t>
      </w:r>
      <w:r>
        <w:rPr>
          <w:rFonts w:hint="eastAsia" w:ascii="楷体" w:hAnsi="楷体" w:eastAsia="楷体" w:cs="楷体"/>
          <w:b w:val="0"/>
          <w:bCs w:val="0"/>
          <w:color w:val="auto"/>
          <w:sz w:val="32"/>
          <w:szCs w:val="32"/>
          <w:highlight w:val="none"/>
          <w:lang w:val="en-US" w:eastAsia="zh-CN"/>
        </w:rPr>
        <w:t>各县区政府）</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 w:hAnsi="仿宋" w:eastAsia="仿宋" w:cs="仿宋"/>
          <w:b w:val="0"/>
          <w:bCs w:val="0"/>
          <w:color w:val="auto"/>
          <w:sz w:val="32"/>
          <w:szCs w:val="32"/>
          <w:highlight w:val="none"/>
          <w:lang w:val="en" w:eastAsia="zh-CN"/>
        </w:rPr>
      </w:pPr>
      <w:r>
        <w:rPr>
          <w:rFonts w:hint="eastAsia" w:ascii="楷体" w:hAnsi="楷体" w:eastAsia="楷体" w:cs="楷体"/>
          <w:b/>
          <w:bCs/>
          <w:color w:val="auto"/>
          <w:sz w:val="32"/>
          <w:szCs w:val="32"/>
          <w:highlight w:val="none"/>
          <w:lang w:val="en-US" w:eastAsia="zh-CN"/>
        </w:rPr>
        <w:t>（三）能源</w:t>
      </w:r>
      <w:r>
        <w:rPr>
          <w:rFonts w:hint="eastAsia" w:ascii="楷体" w:hAnsi="楷体" w:eastAsia="楷体" w:cs="楷体"/>
          <w:b/>
          <w:bCs/>
          <w:color w:val="auto"/>
          <w:sz w:val="32"/>
          <w:szCs w:val="32"/>
          <w:highlight w:val="none"/>
          <w:lang w:val="en" w:eastAsia="zh-CN"/>
        </w:rPr>
        <w:t>领域。</w:t>
      </w:r>
      <w:r>
        <w:rPr>
          <w:rFonts w:hint="eastAsia" w:ascii="仿宋" w:hAnsi="仿宋" w:eastAsia="仿宋" w:cs="仿宋"/>
          <w:b w:val="0"/>
          <w:bCs w:val="0"/>
          <w:color w:val="auto"/>
          <w:sz w:val="32"/>
          <w:szCs w:val="32"/>
          <w:highlight w:val="none"/>
          <w:lang w:val="en" w:eastAsia="zh-CN"/>
        </w:rPr>
        <w:t>主要包括火电、风电、太阳能发电、生物质发电、抽水蓄能、新型储能、输油管线</w:t>
      </w:r>
      <w:r>
        <w:rPr>
          <w:rFonts w:hint="eastAsia" w:ascii="仿宋" w:hAnsi="仿宋" w:eastAsia="仿宋" w:cs="仿宋"/>
          <w:b w:val="0"/>
          <w:bCs w:val="0"/>
          <w:color w:val="auto"/>
          <w:sz w:val="32"/>
          <w:szCs w:val="32"/>
          <w:highlight w:val="none"/>
          <w:lang w:val="en-US" w:eastAsia="zh-CN"/>
        </w:rPr>
        <w:t>等</w:t>
      </w:r>
      <w:r>
        <w:rPr>
          <w:rFonts w:hint="eastAsia" w:ascii="仿宋" w:hAnsi="仿宋" w:eastAsia="仿宋" w:cs="仿宋"/>
          <w:b w:val="0"/>
          <w:bCs w:val="0"/>
          <w:color w:val="auto"/>
          <w:sz w:val="32"/>
          <w:szCs w:val="32"/>
          <w:highlight w:val="none"/>
          <w:lang w:val="en" w:eastAsia="zh-CN"/>
        </w:rPr>
        <w:t>。</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textAlignment w:val="auto"/>
        <w:outlineLvl w:val="9"/>
        <w:rPr>
          <w:rFonts w:hint="eastAsia" w:ascii="楷体" w:hAnsi="楷体" w:eastAsia="楷体" w:cs="楷体"/>
          <w:b w:val="0"/>
          <w:bCs w:val="0"/>
          <w:color w:val="auto"/>
          <w:sz w:val="32"/>
          <w:szCs w:val="32"/>
          <w:highlight w:val="none"/>
          <w:lang w:val="en" w:eastAsia="zh-CN"/>
        </w:rPr>
      </w:pPr>
      <w:r>
        <w:rPr>
          <w:rFonts w:hint="eastAsia" w:ascii="楷体" w:hAnsi="楷体" w:eastAsia="楷体" w:cs="楷体"/>
          <w:b w:val="0"/>
          <w:bCs w:val="0"/>
          <w:color w:val="auto"/>
          <w:sz w:val="32"/>
          <w:szCs w:val="32"/>
          <w:highlight w:val="none"/>
          <w:lang w:val="en" w:eastAsia="zh-CN"/>
        </w:rPr>
        <w:t>（牵头单位：市发展改革委。责任单位：市国资委等</w:t>
      </w:r>
      <w:r>
        <w:rPr>
          <w:rFonts w:hint="eastAsia" w:ascii="楷体" w:hAnsi="楷体" w:eastAsia="楷体" w:cs="楷体"/>
          <w:b w:val="0"/>
          <w:bCs w:val="0"/>
          <w:color w:val="auto"/>
          <w:sz w:val="32"/>
          <w:szCs w:val="32"/>
          <w:highlight w:val="none"/>
          <w:lang w:val="en-US" w:eastAsia="zh-CN"/>
        </w:rPr>
        <w:t>相关单位</w:t>
      </w:r>
      <w:r>
        <w:rPr>
          <w:rFonts w:hint="eastAsia" w:ascii="楷体" w:hAnsi="楷体" w:eastAsia="楷体" w:cs="楷体"/>
          <w:b w:val="0"/>
          <w:bCs w:val="0"/>
          <w:color w:val="auto"/>
          <w:sz w:val="32"/>
          <w:szCs w:val="32"/>
          <w:highlight w:val="none"/>
          <w:lang w:val="en" w:eastAsia="zh-CN"/>
        </w:rPr>
        <w:t>，</w:t>
      </w:r>
      <w:r>
        <w:rPr>
          <w:rFonts w:hint="eastAsia" w:ascii="楷体" w:hAnsi="楷体" w:eastAsia="楷体" w:cs="楷体"/>
          <w:b w:val="0"/>
          <w:bCs w:val="0"/>
          <w:color w:val="auto"/>
          <w:sz w:val="32"/>
          <w:szCs w:val="32"/>
          <w:highlight w:val="none"/>
          <w:lang w:val="en-US" w:eastAsia="zh-CN"/>
        </w:rPr>
        <w:t>各县区政府）</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 w:hAnsi="仿宋" w:eastAsia="仿宋" w:cs="仿宋"/>
          <w:b w:val="0"/>
          <w:bCs w:val="0"/>
          <w:color w:val="auto"/>
          <w:sz w:val="32"/>
          <w:szCs w:val="32"/>
          <w:highlight w:val="none"/>
          <w:lang w:val="en" w:eastAsia="zh-CN"/>
        </w:rPr>
      </w:pPr>
      <w:r>
        <w:rPr>
          <w:rFonts w:hint="eastAsia" w:ascii="楷体" w:hAnsi="楷体" w:eastAsia="楷体" w:cs="楷体"/>
          <w:b/>
          <w:bCs/>
          <w:color w:val="auto"/>
          <w:sz w:val="32"/>
          <w:szCs w:val="32"/>
          <w:highlight w:val="none"/>
          <w:lang w:val="en-US" w:eastAsia="zh-CN"/>
        </w:rPr>
        <w:t>（四）市政设施领域</w:t>
      </w:r>
      <w:r>
        <w:rPr>
          <w:rFonts w:hint="eastAsia" w:ascii="楷体" w:hAnsi="楷体" w:eastAsia="楷体" w:cs="楷体"/>
          <w:b/>
          <w:bCs/>
          <w:color w:val="auto"/>
          <w:sz w:val="32"/>
          <w:szCs w:val="32"/>
          <w:highlight w:val="none"/>
          <w:lang w:val="en" w:eastAsia="zh-CN"/>
        </w:rPr>
        <w:t>。</w:t>
      </w:r>
      <w:r>
        <w:rPr>
          <w:rFonts w:hint="eastAsia" w:ascii="仿宋" w:hAnsi="仿宋" w:eastAsia="仿宋" w:cs="仿宋"/>
          <w:b w:val="0"/>
          <w:bCs w:val="0"/>
          <w:color w:val="auto"/>
          <w:sz w:val="32"/>
          <w:szCs w:val="32"/>
          <w:highlight w:val="none"/>
          <w:lang w:val="en" w:eastAsia="zh-CN"/>
        </w:rPr>
        <w:t>主要包括燃气、供暖、供水、排水管网及相关设施，地下管廊、城市停车场、老旧小区改造形成的基础设施等。</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textAlignment w:val="auto"/>
        <w:outlineLvl w:val="9"/>
        <w:rPr>
          <w:rFonts w:hint="eastAsia" w:ascii="楷体" w:hAnsi="楷体" w:eastAsia="楷体" w:cs="楷体"/>
          <w:b w:val="0"/>
          <w:bCs w:val="0"/>
          <w:color w:val="auto"/>
          <w:sz w:val="32"/>
          <w:szCs w:val="32"/>
          <w:highlight w:val="none"/>
          <w:lang w:val="en" w:eastAsia="zh-CN"/>
        </w:rPr>
      </w:pPr>
      <w:r>
        <w:rPr>
          <w:rFonts w:hint="eastAsia" w:ascii="楷体" w:hAnsi="楷体" w:eastAsia="楷体" w:cs="楷体"/>
          <w:b w:val="0"/>
          <w:bCs w:val="0"/>
          <w:color w:val="auto"/>
          <w:sz w:val="32"/>
          <w:szCs w:val="32"/>
          <w:highlight w:val="none"/>
          <w:lang w:val="en" w:eastAsia="zh-CN"/>
        </w:rPr>
        <w:t>（牵头单位：市住房城乡建设局。责任单位：</w:t>
      </w:r>
      <w:r>
        <w:rPr>
          <w:rFonts w:hint="eastAsia" w:ascii="楷体" w:hAnsi="楷体" w:eastAsia="楷体" w:cs="楷体"/>
          <w:b w:val="0"/>
          <w:bCs w:val="0"/>
          <w:color w:val="auto"/>
          <w:sz w:val="32"/>
          <w:szCs w:val="32"/>
          <w:highlight w:val="none"/>
          <w:lang w:val="en-US" w:eastAsia="zh-CN"/>
        </w:rPr>
        <w:t>各县区政府</w:t>
      </w:r>
      <w:r>
        <w:rPr>
          <w:rFonts w:hint="eastAsia" w:ascii="楷体" w:hAnsi="楷体" w:eastAsia="楷体" w:cs="楷体"/>
          <w:b w:val="0"/>
          <w:bCs w:val="0"/>
          <w:color w:val="auto"/>
          <w:sz w:val="32"/>
          <w:szCs w:val="32"/>
          <w:highlight w:val="none"/>
          <w:lang w:val="en" w:eastAsia="zh-CN"/>
        </w:rPr>
        <w:t>）</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 w:hAnsi="仿宋" w:eastAsia="仿宋" w:cs="仿宋"/>
          <w:b w:val="0"/>
          <w:bCs w:val="0"/>
          <w:color w:val="auto"/>
          <w:sz w:val="32"/>
          <w:szCs w:val="32"/>
          <w:highlight w:val="none"/>
          <w:lang w:val="en" w:eastAsia="zh-CN"/>
        </w:rPr>
      </w:pPr>
      <w:r>
        <w:rPr>
          <w:rFonts w:hint="eastAsia" w:ascii="楷体" w:hAnsi="楷体" w:eastAsia="楷体" w:cs="楷体"/>
          <w:b/>
          <w:bCs/>
          <w:color w:val="auto"/>
          <w:sz w:val="32"/>
          <w:szCs w:val="32"/>
          <w:highlight w:val="none"/>
          <w:lang w:val="en-US" w:eastAsia="zh-CN"/>
        </w:rPr>
        <w:t>（五）环境基础设施领域</w:t>
      </w:r>
      <w:r>
        <w:rPr>
          <w:rFonts w:hint="eastAsia" w:ascii="楷体" w:hAnsi="楷体" w:eastAsia="楷体" w:cs="楷体"/>
          <w:b/>
          <w:bCs/>
          <w:color w:val="auto"/>
          <w:sz w:val="32"/>
          <w:szCs w:val="32"/>
          <w:highlight w:val="none"/>
          <w:lang w:val="en" w:eastAsia="zh-CN"/>
        </w:rPr>
        <w:t>。</w:t>
      </w:r>
      <w:r>
        <w:rPr>
          <w:rFonts w:hint="eastAsia" w:ascii="仿宋" w:hAnsi="仿宋" w:eastAsia="仿宋" w:cs="仿宋"/>
          <w:b w:val="0"/>
          <w:bCs w:val="0"/>
          <w:color w:val="auto"/>
          <w:sz w:val="32"/>
          <w:szCs w:val="32"/>
          <w:highlight w:val="none"/>
          <w:lang w:val="en" w:eastAsia="zh-CN"/>
        </w:rPr>
        <w:t>主要包括城镇污水垃圾处理、工业污染源治理、固体废物处置、危险废物处理处置、生态环境综合治理以及资源循环和综合利用、节能减碳改造设施等。</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textAlignment w:val="auto"/>
        <w:outlineLvl w:val="9"/>
        <w:rPr>
          <w:rFonts w:hint="eastAsia" w:ascii="楷体" w:hAnsi="楷体" w:eastAsia="楷体" w:cs="楷体"/>
          <w:b w:val="0"/>
          <w:bCs w:val="0"/>
          <w:color w:val="auto"/>
          <w:sz w:val="32"/>
          <w:szCs w:val="32"/>
          <w:highlight w:val="none"/>
          <w:lang w:val="en" w:eastAsia="zh-CN"/>
        </w:rPr>
      </w:pPr>
      <w:r>
        <w:rPr>
          <w:rFonts w:hint="eastAsia" w:ascii="楷体" w:hAnsi="楷体" w:eastAsia="楷体" w:cs="楷体"/>
          <w:b w:val="0"/>
          <w:bCs w:val="0"/>
          <w:color w:val="auto"/>
          <w:sz w:val="32"/>
          <w:szCs w:val="32"/>
          <w:highlight w:val="none"/>
          <w:lang w:val="en" w:eastAsia="zh-CN"/>
        </w:rPr>
        <w:t>（牵头单位：市生态环境局、市发展改革委、市住房城乡建设局、市自然资源局、市工业和信息化局。责任单位：市国资委等</w:t>
      </w:r>
      <w:r>
        <w:rPr>
          <w:rFonts w:hint="eastAsia" w:ascii="楷体" w:hAnsi="楷体" w:eastAsia="楷体" w:cs="楷体"/>
          <w:b w:val="0"/>
          <w:bCs w:val="0"/>
          <w:color w:val="auto"/>
          <w:sz w:val="32"/>
          <w:szCs w:val="32"/>
          <w:highlight w:val="none"/>
          <w:lang w:val="en-US" w:eastAsia="zh-CN"/>
        </w:rPr>
        <w:t>相关单位</w:t>
      </w:r>
      <w:r>
        <w:rPr>
          <w:rFonts w:hint="eastAsia" w:ascii="楷体" w:hAnsi="楷体" w:eastAsia="楷体" w:cs="楷体"/>
          <w:b w:val="0"/>
          <w:bCs w:val="0"/>
          <w:color w:val="auto"/>
          <w:sz w:val="32"/>
          <w:szCs w:val="32"/>
          <w:highlight w:val="none"/>
          <w:lang w:val="en" w:eastAsia="zh-CN"/>
        </w:rPr>
        <w:t>，</w:t>
      </w:r>
      <w:r>
        <w:rPr>
          <w:rFonts w:hint="eastAsia" w:ascii="楷体" w:hAnsi="楷体" w:eastAsia="楷体" w:cs="楷体"/>
          <w:b w:val="0"/>
          <w:bCs w:val="0"/>
          <w:color w:val="auto"/>
          <w:sz w:val="32"/>
          <w:szCs w:val="32"/>
          <w:highlight w:val="none"/>
          <w:lang w:val="en-US" w:eastAsia="zh-CN"/>
        </w:rPr>
        <w:t>各县区政府）</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 w:hAnsi="仿宋" w:eastAsia="仿宋" w:cs="仿宋"/>
          <w:b w:val="0"/>
          <w:bCs w:val="0"/>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（六）园区及物流领域</w:t>
      </w:r>
      <w:r>
        <w:rPr>
          <w:rFonts w:hint="eastAsia" w:ascii="楷体" w:hAnsi="楷体" w:eastAsia="楷体" w:cs="楷体"/>
          <w:b/>
          <w:bCs/>
          <w:color w:val="auto"/>
          <w:sz w:val="32"/>
          <w:szCs w:val="32"/>
          <w:highlight w:val="none"/>
          <w:lang w:val="en" w:eastAsia="zh-CN"/>
        </w:rPr>
        <w:t>。</w:t>
      </w:r>
      <w:r>
        <w:rPr>
          <w:rFonts w:hint="eastAsia" w:ascii="仿宋" w:hAnsi="仿宋" w:eastAsia="仿宋" w:cs="仿宋"/>
          <w:b w:val="0"/>
          <w:bCs w:val="0"/>
          <w:color w:val="auto"/>
          <w:sz w:val="32"/>
          <w:szCs w:val="32"/>
          <w:highlight w:val="none"/>
          <w:lang w:val="en-US" w:eastAsia="zh-CN"/>
        </w:rPr>
        <w:t>主要包括各类开发区，总部基地、科技、生态农业、文化创意等园区（基地）基础设施资产，仓储物流相关库房场地、储存保管、装卸搬运、配送货物及物流信息平台等。</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textAlignment w:val="auto"/>
        <w:outlineLvl w:val="9"/>
        <w:rPr>
          <w:rFonts w:hint="eastAsia" w:ascii="楷体" w:hAnsi="楷体" w:eastAsia="楷体" w:cs="楷体"/>
          <w:b w:val="0"/>
          <w:bCs w:val="0"/>
          <w:color w:val="auto"/>
          <w:sz w:val="32"/>
          <w:szCs w:val="32"/>
          <w:highlight w:val="none"/>
          <w:lang w:val="en" w:eastAsia="zh-CN"/>
        </w:rPr>
      </w:pPr>
      <w:r>
        <w:rPr>
          <w:rFonts w:hint="eastAsia" w:ascii="楷体" w:hAnsi="楷体" w:eastAsia="楷体" w:cs="楷体"/>
          <w:b w:val="0"/>
          <w:bCs w:val="0"/>
          <w:color w:val="auto"/>
          <w:sz w:val="32"/>
          <w:szCs w:val="32"/>
          <w:highlight w:val="none"/>
          <w:lang w:val="en" w:eastAsia="zh-CN"/>
        </w:rPr>
        <w:t>（牵头单位：市商务局、市科技局、市农业农村局、市文化和旅游局。责任单位：市发展改革委等</w:t>
      </w:r>
      <w:r>
        <w:rPr>
          <w:rFonts w:hint="eastAsia" w:ascii="楷体" w:hAnsi="楷体" w:eastAsia="楷体" w:cs="楷体"/>
          <w:b w:val="0"/>
          <w:bCs w:val="0"/>
          <w:color w:val="auto"/>
          <w:sz w:val="32"/>
          <w:szCs w:val="32"/>
          <w:highlight w:val="none"/>
          <w:lang w:val="en-US" w:eastAsia="zh-CN"/>
        </w:rPr>
        <w:t>相关单位</w:t>
      </w:r>
      <w:r>
        <w:rPr>
          <w:rFonts w:hint="eastAsia" w:ascii="楷体" w:hAnsi="楷体" w:eastAsia="楷体" w:cs="楷体"/>
          <w:b w:val="0"/>
          <w:bCs w:val="0"/>
          <w:color w:val="auto"/>
          <w:sz w:val="32"/>
          <w:szCs w:val="32"/>
          <w:highlight w:val="none"/>
          <w:lang w:val="en" w:eastAsia="zh-CN"/>
        </w:rPr>
        <w:t>，</w:t>
      </w:r>
      <w:r>
        <w:rPr>
          <w:rFonts w:hint="eastAsia" w:ascii="楷体" w:hAnsi="楷体" w:eastAsia="楷体" w:cs="楷体"/>
          <w:b w:val="0"/>
          <w:bCs w:val="0"/>
          <w:color w:val="auto"/>
          <w:sz w:val="32"/>
          <w:szCs w:val="32"/>
          <w:highlight w:val="none"/>
          <w:lang w:val="en-US" w:eastAsia="zh-CN"/>
        </w:rPr>
        <w:t>各县区政府）</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 w:hAnsi="仿宋" w:eastAsia="仿宋" w:cs="仿宋"/>
          <w:b w:val="0"/>
          <w:bCs w:val="0"/>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（七）房地产领域。</w:t>
      </w:r>
      <w:r>
        <w:rPr>
          <w:rFonts w:hint="eastAsia" w:ascii="仿宋" w:hAnsi="仿宋" w:eastAsia="仿宋" w:cs="仿宋"/>
          <w:b w:val="0"/>
          <w:bCs w:val="0"/>
          <w:color w:val="auto"/>
          <w:sz w:val="32"/>
          <w:szCs w:val="32"/>
          <w:highlight w:val="none"/>
          <w:lang w:val="en-US" w:eastAsia="zh-CN"/>
        </w:rPr>
        <w:t>主要包括各类闲置工业厂房、办公用房、培训中心、烂尾楼、学校非教育用途的闲置房产等。</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textAlignment w:val="auto"/>
        <w:outlineLvl w:val="9"/>
        <w:rPr>
          <w:rFonts w:hint="eastAsia" w:ascii="楷体" w:hAnsi="楷体" w:eastAsia="楷体" w:cs="楷体"/>
          <w:b w:val="0"/>
          <w:bCs w:val="0"/>
          <w:color w:val="auto"/>
          <w:sz w:val="32"/>
          <w:szCs w:val="32"/>
          <w:highlight w:val="none"/>
          <w:lang w:val="en" w:eastAsia="zh-CN"/>
        </w:rPr>
      </w:pPr>
      <w:r>
        <w:rPr>
          <w:rFonts w:hint="eastAsia" w:ascii="楷体" w:hAnsi="楷体" w:eastAsia="楷体" w:cs="楷体"/>
          <w:b w:val="0"/>
          <w:bCs w:val="0"/>
          <w:color w:val="auto"/>
          <w:sz w:val="32"/>
          <w:szCs w:val="32"/>
          <w:highlight w:val="none"/>
          <w:lang w:val="en" w:eastAsia="zh-CN"/>
        </w:rPr>
        <w:t>（牵头单位：市住房城乡建设局、市机关事务局、市教育局、市财政局、市国资委等相关单位。责任单位：各县区政府）</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 w:hAnsi="仿宋" w:eastAsia="仿宋" w:cs="仿宋"/>
          <w:b w:val="0"/>
          <w:bCs w:val="0"/>
          <w:color w:val="auto"/>
          <w:sz w:val="32"/>
          <w:szCs w:val="32"/>
          <w:highlight w:val="none"/>
          <w:lang w:val="en" w:eastAsia="zh-CN"/>
        </w:rPr>
      </w:pPr>
      <w:r>
        <w:rPr>
          <w:rFonts w:hint="eastAsia" w:ascii="楷体" w:hAnsi="楷体" w:eastAsia="楷体" w:cs="楷体"/>
          <w:b/>
          <w:bCs/>
          <w:color w:val="auto"/>
          <w:sz w:val="32"/>
          <w:szCs w:val="32"/>
          <w:highlight w:val="none"/>
          <w:lang w:val="en" w:eastAsia="zh-CN"/>
        </w:rPr>
        <w:t>（八）服务业领域。</w:t>
      </w:r>
      <w:r>
        <w:rPr>
          <w:rFonts w:hint="eastAsia" w:ascii="仿宋" w:hAnsi="仿宋" w:eastAsia="仿宋" w:cs="仿宋"/>
          <w:b w:val="0"/>
          <w:bCs w:val="0"/>
          <w:color w:val="auto"/>
          <w:sz w:val="32"/>
          <w:szCs w:val="32"/>
          <w:highlight w:val="none"/>
          <w:lang w:val="en" w:eastAsia="zh-CN"/>
        </w:rPr>
        <w:t>主要包括旅游景区，商业综合体、农产品批发市场、文体设施等，以及国有企业开办的酒店、餐饮、疗养院等非主业资产。</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textAlignment w:val="auto"/>
        <w:outlineLvl w:val="9"/>
        <w:rPr>
          <w:rFonts w:hint="eastAsia" w:ascii="楷体" w:hAnsi="楷体" w:eastAsia="楷体" w:cs="楷体"/>
          <w:b w:val="0"/>
          <w:bCs w:val="0"/>
          <w:color w:val="auto"/>
          <w:sz w:val="32"/>
          <w:szCs w:val="32"/>
          <w:highlight w:val="none"/>
          <w:lang w:val="en" w:eastAsia="zh-CN"/>
        </w:rPr>
      </w:pPr>
      <w:r>
        <w:rPr>
          <w:rFonts w:hint="eastAsia" w:ascii="楷体" w:hAnsi="楷体" w:eastAsia="楷体" w:cs="楷体"/>
          <w:b w:val="0"/>
          <w:bCs w:val="0"/>
          <w:color w:val="auto"/>
          <w:sz w:val="32"/>
          <w:szCs w:val="32"/>
          <w:highlight w:val="none"/>
          <w:lang w:val="en" w:eastAsia="zh-CN"/>
        </w:rPr>
        <w:t>（牵头单位：市商务局、市文化和旅游局、市国资委。责任单位：市委宣传部、市卫生健康委等相关单位，各县区政府）</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 w:hAnsi="仿宋" w:eastAsia="仿宋" w:cs="仿宋"/>
          <w:b w:val="0"/>
          <w:bCs w:val="0"/>
          <w:color w:val="auto"/>
          <w:sz w:val="32"/>
          <w:szCs w:val="32"/>
          <w:highlight w:val="none"/>
          <w:lang w:val="en" w:eastAsia="zh-CN"/>
        </w:rPr>
      </w:pPr>
      <w:r>
        <w:rPr>
          <w:rFonts w:hint="eastAsia" w:ascii="楷体" w:hAnsi="楷体" w:eastAsia="楷体" w:cs="楷体"/>
          <w:b/>
          <w:bCs/>
          <w:color w:val="auto"/>
          <w:sz w:val="32"/>
          <w:szCs w:val="32"/>
          <w:highlight w:val="none"/>
          <w:lang w:val="en" w:eastAsia="zh-CN"/>
        </w:rPr>
        <w:t>（九）新型基础设施领域。</w:t>
      </w:r>
      <w:r>
        <w:rPr>
          <w:rFonts w:hint="eastAsia" w:ascii="仿宋" w:hAnsi="仿宋" w:eastAsia="仿宋" w:cs="仿宋"/>
          <w:b w:val="0"/>
          <w:bCs w:val="0"/>
          <w:color w:val="auto"/>
          <w:sz w:val="32"/>
          <w:szCs w:val="32"/>
          <w:highlight w:val="none"/>
          <w:lang w:val="en" w:eastAsia="zh-CN"/>
        </w:rPr>
        <w:t>主要包括基于新一代信息技术演化生成的基础设施；传统基础设施转型升级的融合基础设施；高校、科研院所和企业支撑科学研究、技术开发、产品研制的基础设施</w:t>
      </w:r>
      <w:r>
        <w:rPr>
          <w:rFonts w:hint="eastAsia" w:ascii="仿宋" w:hAnsi="仿宋" w:eastAsia="仿宋" w:cs="仿宋"/>
          <w:b w:val="0"/>
          <w:bCs w:val="0"/>
          <w:color w:val="auto"/>
          <w:sz w:val="32"/>
          <w:szCs w:val="32"/>
          <w:highlight w:val="none"/>
          <w:lang w:val="en-US" w:eastAsia="zh-CN"/>
        </w:rPr>
        <w:t>等</w:t>
      </w:r>
      <w:r>
        <w:rPr>
          <w:rFonts w:hint="eastAsia" w:ascii="仿宋" w:hAnsi="仿宋" w:eastAsia="仿宋" w:cs="仿宋"/>
          <w:b w:val="0"/>
          <w:bCs w:val="0"/>
          <w:color w:val="auto"/>
          <w:sz w:val="32"/>
          <w:szCs w:val="32"/>
          <w:highlight w:val="none"/>
          <w:lang w:val="en" w:eastAsia="zh-CN"/>
        </w:rPr>
        <w:t>。</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textAlignment w:val="auto"/>
        <w:outlineLvl w:val="9"/>
        <w:rPr>
          <w:rFonts w:hint="eastAsia" w:ascii="楷体" w:hAnsi="楷体" w:eastAsia="楷体" w:cs="楷体"/>
          <w:b w:val="0"/>
          <w:bCs w:val="0"/>
          <w:color w:val="auto"/>
          <w:sz w:val="32"/>
          <w:szCs w:val="32"/>
          <w:highlight w:val="none"/>
          <w:lang w:val="en" w:eastAsia="zh-CN"/>
        </w:rPr>
      </w:pPr>
      <w:r>
        <w:rPr>
          <w:rFonts w:hint="eastAsia" w:ascii="楷体" w:hAnsi="楷体" w:eastAsia="楷体" w:cs="楷体"/>
          <w:b w:val="0"/>
          <w:bCs w:val="0"/>
          <w:color w:val="auto"/>
          <w:sz w:val="32"/>
          <w:szCs w:val="32"/>
          <w:highlight w:val="none"/>
          <w:lang w:val="en" w:eastAsia="zh-CN"/>
        </w:rPr>
        <w:t>（牵头单位：市发展改革委。责任单位：市科技局、市工业和信息化局、市教育局、市营商局、市机关事务局等相关单位，各县区政府）</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 w:hAnsi="仿宋" w:eastAsia="仿宋" w:cs="仿宋"/>
          <w:b w:val="0"/>
          <w:bCs w:val="0"/>
          <w:color w:val="auto"/>
          <w:sz w:val="32"/>
          <w:szCs w:val="32"/>
          <w:highlight w:val="none"/>
          <w:lang w:val="en" w:eastAsia="zh-CN"/>
        </w:rPr>
      </w:pPr>
      <w:r>
        <w:rPr>
          <w:rFonts w:hint="eastAsia" w:ascii="楷体" w:hAnsi="楷体" w:eastAsia="楷体" w:cs="楷体"/>
          <w:b/>
          <w:bCs/>
          <w:color w:val="auto"/>
          <w:sz w:val="32"/>
          <w:szCs w:val="32"/>
          <w:highlight w:val="none"/>
          <w:lang w:val="en" w:eastAsia="zh-CN"/>
        </w:rPr>
        <w:t>（十）土地资源领域。</w:t>
      </w:r>
      <w:r>
        <w:rPr>
          <w:rFonts w:hint="eastAsia" w:ascii="仿宋" w:hAnsi="仿宋" w:eastAsia="仿宋" w:cs="仿宋"/>
          <w:b w:val="0"/>
          <w:bCs w:val="0"/>
          <w:color w:val="auto"/>
          <w:sz w:val="32"/>
          <w:szCs w:val="32"/>
          <w:highlight w:val="none"/>
          <w:lang w:val="en-US" w:eastAsia="zh-CN"/>
        </w:rPr>
        <w:t>主要包括批而未征、征而未供、供而未用土地，历史遗留闲置土地资产，以及低效用地土地资源，农村闲置宅基地、荒山、荒地等。</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textAlignment w:val="auto"/>
        <w:outlineLvl w:val="9"/>
        <w:rPr>
          <w:rFonts w:hint="eastAsia" w:ascii="楷体" w:hAnsi="楷体" w:eastAsia="楷体" w:cs="楷体"/>
          <w:b w:val="0"/>
          <w:bCs w:val="0"/>
          <w:color w:val="auto"/>
          <w:sz w:val="32"/>
          <w:szCs w:val="32"/>
          <w:highlight w:val="none"/>
          <w:lang w:val="en-US" w:eastAsia="zh-CN"/>
        </w:rPr>
      </w:pPr>
      <w:r>
        <w:rPr>
          <w:rFonts w:hint="eastAsia" w:ascii="楷体" w:hAnsi="楷体" w:eastAsia="楷体" w:cs="楷体"/>
          <w:b w:val="0"/>
          <w:bCs w:val="0"/>
          <w:color w:val="auto"/>
          <w:sz w:val="32"/>
          <w:szCs w:val="32"/>
          <w:highlight w:val="none"/>
          <w:lang w:val="en" w:eastAsia="zh-CN"/>
        </w:rPr>
        <w:t>（牵头单位：市自然资源局。责任单位：各县区政府）</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三、主要盘活方式</w:t>
      </w:r>
    </w:p>
    <w:p>
      <w:pPr>
        <w:keepNext w:val="0"/>
        <w:keepLines w:val="0"/>
        <w:pageBreakBefore w:val="0"/>
        <w:widowControl w:val="0"/>
        <w:kinsoku/>
        <w:wordWrap/>
        <w:overflowPunct w:val="0"/>
        <w:topLinePunct w:val="0"/>
        <w:autoSpaceDE/>
        <w:autoSpaceDN/>
        <w:bidi w:val="0"/>
        <w:adjustRightInd/>
        <w:snapToGrid w:val="0"/>
        <w:spacing w:line="600" w:lineRule="exact"/>
        <w:ind w:right="0" w:rightChars="0"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坚持“重点盘活、统筹盘活、有序盘活”有机结合，因地制宜研究制定盘活闲置资产方法，针对不同类型、不同领域的存量资产，灵活采取多种方式，精准施策，有效盘活存量资产。</w:t>
      </w:r>
    </w:p>
    <w:p>
      <w:pPr>
        <w:keepNext w:val="0"/>
        <w:keepLines w:val="0"/>
        <w:pageBreakBefore w:val="0"/>
        <w:widowControl w:val="0"/>
        <w:numPr>
          <w:ilvl w:val="0"/>
          <w:numId w:val="0"/>
        </w:numPr>
        <w:kinsoku/>
        <w:wordWrap/>
        <w:overflowPunct w:val="0"/>
        <w:topLinePunct w:val="0"/>
        <w:autoSpaceDE/>
        <w:autoSpaceDN/>
        <w:bidi w:val="0"/>
        <w:adjustRightInd/>
        <w:snapToGrid w:val="0"/>
        <w:spacing w:line="600" w:lineRule="exact"/>
        <w:ind w:right="0" w:rightChars="0" w:firstLine="643" w:firstLineChars="200"/>
        <w:textAlignment w:val="auto"/>
        <w:outlineLvl w:val="9"/>
        <w:rPr>
          <w:rFonts w:hint="eastAsia" w:ascii="仿宋" w:hAnsi="仿宋" w:eastAsia="仿宋" w:cs="仿宋"/>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（一）推动基础设施领域不动产投资信托基金（REITs）健康发展。</w:t>
      </w:r>
      <w:r>
        <w:rPr>
          <w:rFonts w:hint="eastAsia" w:ascii="仿宋" w:hAnsi="仿宋" w:eastAsia="仿宋" w:cs="仿宋"/>
          <w:color w:val="auto"/>
          <w:sz w:val="32"/>
          <w:szCs w:val="32"/>
          <w:highlight w:val="none"/>
          <w:lang w:val="en-US" w:eastAsia="zh-CN"/>
        </w:rPr>
        <w:t>进一步提高推荐、审核效率，鼓励更多符合条件的基础设施REITs项目发行上市。国有企业发行基础设施REITs涉及国有产权非公开协议转让的，按规定报同级国有资产监督管理机构批准。</w:t>
      </w:r>
    </w:p>
    <w:p>
      <w:pPr>
        <w:keepNext w:val="0"/>
        <w:keepLines w:val="0"/>
        <w:pageBreakBefore w:val="0"/>
        <w:widowControl w:val="0"/>
        <w:numPr>
          <w:ilvl w:val="0"/>
          <w:numId w:val="0"/>
        </w:numPr>
        <w:kinsoku/>
        <w:wordWrap/>
        <w:overflowPunct w:val="0"/>
        <w:topLinePunct w:val="0"/>
        <w:autoSpaceDE/>
        <w:autoSpaceDN/>
        <w:bidi w:val="0"/>
        <w:adjustRightInd/>
        <w:snapToGrid w:val="0"/>
        <w:spacing w:line="600" w:lineRule="exact"/>
        <w:ind w:right="0" w:rightChars="0" w:firstLine="640" w:firstLineChars="200"/>
        <w:textAlignment w:val="auto"/>
        <w:outlineLvl w:val="9"/>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 w:eastAsia="zh-CN"/>
        </w:rPr>
        <w:t>（牵头单位：市发展改革委。责任单位：市司法局、市金融监管局、市财政局、市国资委等相关单位，各县区政府）</w:t>
      </w:r>
    </w:p>
    <w:p>
      <w:pPr>
        <w:keepNext w:val="0"/>
        <w:keepLines w:val="0"/>
        <w:pageBreakBefore w:val="0"/>
        <w:widowControl w:val="0"/>
        <w:numPr>
          <w:ilvl w:val="0"/>
          <w:numId w:val="0"/>
        </w:numPr>
        <w:kinsoku/>
        <w:wordWrap/>
        <w:overflowPunct w:val="0"/>
        <w:topLinePunct w:val="0"/>
        <w:autoSpaceDE/>
        <w:autoSpaceDN/>
        <w:bidi w:val="0"/>
        <w:adjustRightInd/>
        <w:snapToGrid w:val="0"/>
        <w:spacing w:line="600" w:lineRule="exact"/>
        <w:ind w:right="0" w:rightChars="0" w:firstLine="643" w:firstLineChars="200"/>
        <w:textAlignment w:val="auto"/>
        <w:outlineLvl w:val="9"/>
        <w:rPr>
          <w:rFonts w:hint="eastAsia" w:ascii="仿宋" w:hAnsi="仿宋" w:eastAsia="仿宋" w:cs="仿宋"/>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（二）规范有序推进政府和社会资本合作（PPP）。</w:t>
      </w:r>
      <w:r>
        <w:rPr>
          <w:rFonts w:hint="eastAsia" w:ascii="仿宋" w:hAnsi="仿宋" w:eastAsia="仿宋" w:cs="仿宋"/>
          <w:color w:val="auto"/>
          <w:sz w:val="32"/>
          <w:szCs w:val="32"/>
          <w:highlight w:val="none"/>
          <w:lang w:val="en-US" w:eastAsia="zh-CN"/>
        </w:rPr>
        <w:t>鼓励具备长期稳定经营性收益的存量项目采用PPP模式盘活存量资产，引导社会资本方积极参与建设，通过创新运营模式、引入先进技术等方式，有效盘活存量资产，提升运营效率和服务水平。</w:t>
      </w:r>
    </w:p>
    <w:p>
      <w:pPr>
        <w:keepNext w:val="0"/>
        <w:keepLines w:val="0"/>
        <w:pageBreakBefore w:val="0"/>
        <w:widowControl w:val="0"/>
        <w:numPr>
          <w:ilvl w:val="0"/>
          <w:numId w:val="0"/>
        </w:numPr>
        <w:kinsoku/>
        <w:wordWrap/>
        <w:overflowPunct w:val="0"/>
        <w:topLinePunct w:val="0"/>
        <w:autoSpaceDE/>
        <w:autoSpaceDN/>
        <w:bidi w:val="0"/>
        <w:adjustRightInd/>
        <w:snapToGrid w:val="0"/>
        <w:spacing w:line="600" w:lineRule="exact"/>
        <w:ind w:right="0" w:rightChars="0" w:firstLine="640" w:firstLineChars="200"/>
        <w:textAlignment w:val="auto"/>
        <w:outlineLvl w:val="9"/>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 w:eastAsia="zh-CN"/>
        </w:rPr>
        <w:t>（牵头单位：市发展改革委。责任单位：市财政局等相关单位，各县区政府）</w:t>
      </w:r>
    </w:p>
    <w:p>
      <w:pPr>
        <w:keepNext w:val="0"/>
        <w:keepLines w:val="0"/>
        <w:pageBreakBefore w:val="0"/>
        <w:widowControl w:val="0"/>
        <w:numPr>
          <w:ilvl w:val="0"/>
          <w:numId w:val="0"/>
        </w:numPr>
        <w:kinsoku/>
        <w:wordWrap/>
        <w:overflowPunct w:val="0"/>
        <w:topLinePunct w:val="0"/>
        <w:autoSpaceDE/>
        <w:autoSpaceDN/>
        <w:bidi w:val="0"/>
        <w:adjustRightInd/>
        <w:snapToGrid w:val="0"/>
        <w:spacing w:line="600" w:lineRule="exact"/>
        <w:ind w:right="0" w:rightChars="0" w:firstLine="643" w:firstLineChars="200"/>
        <w:textAlignment w:val="auto"/>
        <w:outlineLvl w:val="9"/>
        <w:rPr>
          <w:rFonts w:hint="eastAsia" w:ascii="仿宋" w:hAnsi="仿宋" w:eastAsia="仿宋" w:cs="仿宋"/>
          <w:color w:val="auto"/>
          <w:sz w:val="32"/>
          <w:szCs w:val="32"/>
          <w:highlight w:val="none"/>
        </w:rPr>
      </w:pPr>
      <w:r>
        <w:rPr>
          <w:rFonts w:hint="eastAsia" w:ascii="楷体" w:hAnsi="楷体" w:eastAsia="楷体" w:cs="楷体"/>
          <w:b/>
          <w:bCs/>
          <w:color w:val="auto"/>
          <w:sz w:val="32"/>
          <w:szCs w:val="32"/>
          <w:highlight w:val="none"/>
          <w:lang w:val="en-US" w:eastAsia="zh-CN"/>
        </w:rPr>
        <w:t>（三）</w:t>
      </w:r>
      <w:r>
        <w:rPr>
          <w:rFonts w:hint="eastAsia" w:ascii="楷体" w:hAnsi="楷体" w:eastAsia="楷体" w:cs="楷体"/>
          <w:b/>
          <w:bCs/>
          <w:color w:val="auto"/>
          <w:sz w:val="32"/>
          <w:szCs w:val="32"/>
          <w:highlight w:val="none"/>
          <w:lang w:eastAsia="zh-CN"/>
        </w:rPr>
        <w:t>积极</w:t>
      </w:r>
      <w:r>
        <w:rPr>
          <w:rFonts w:hint="eastAsia" w:ascii="楷体" w:hAnsi="楷体" w:eastAsia="楷体" w:cs="楷体"/>
          <w:b/>
          <w:bCs/>
          <w:color w:val="auto"/>
          <w:sz w:val="32"/>
          <w:szCs w:val="32"/>
          <w:highlight w:val="none"/>
          <w:lang w:val="en-US" w:eastAsia="zh-CN"/>
        </w:rPr>
        <w:t>推进产权规范交易。</w:t>
      </w:r>
      <w:r>
        <w:rPr>
          <w:rFonts w:hint="eastAsia" w:ascii="仿宋" w:hAnsi="仿宋" w:eastAsia="仿宋" w:cs="仿宋"/>
          <w:color w:val="auto"/>
          <w:sz w:val="32"/>
          <w:szCs w:val="32"/>
          <w:highlight w:val="none"/>
          <w:lang w:val="en-US" w:eastAsia="zh-CN"/>
        </w:rPr>
        <w:t>充分发挥产权交易所的价值发现和投资者发现功能，创新交易产品和交易方式，加强全流程精细化服务，推动存量资产盘活交易更加规范、</w:t>
      </w:r>
      <w:r>
        <w:rPr>
          <w:rFonts w:hint="eastAsia" w:ascii="仿宋" w:hAnsi="仿宋" w:eastAsia="仿宋" w:cs="仿宋"/>
          <w:color w:val="auto"/>
          <w:sz w:val="32"/>
          <w:szCs w:val="32"/>
          <w:highlight w:val="none"/>
        </w:rPr>
        <w:t>高效、便捷。采取多种方式加大宣传引导力度，吸引更多买方参与交易竞价。</w:t>
      </w:r>
    </w:p>
    <w:p>
      <w:pPr>
        <w:keepNext w:val="0"/>
        <w:keepLines w:val="0"/>
        <w:pageBreakBefore w:val="0"/>
        <w:widowControl w:val="0"/>
        <w:numPr>
          <w:ilvl w:val="0"/>
          <w:numId w:val="0"/>
        </w:numPr>
        <w:kinsoku/>
        <w:wordWrap/>
        <w:overflowPunct w:val="0"/>
        <w:topLinePunct w:val="0"/>
        <w:autoSpaceDE/>
        <w:autoSpaceDN/>
        <w:bidi w:val="0"/>
        <w:adjustRightInd/>
        <w:snapToGrid w:val="0"/>
        <w:spacing w:line="600" w:lineRule="exact"/>
        <w:ind w:right="0" w:rightChars="0" w:firstLine="640" w:firstLineChars="200"/>
        <w:textAlignment w:val="auto"/>
        <w:outlineLvl w:val="9"/>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 w:eastAsia="zh-CN"/>
        </w:rPr>
        <w:t>（牵头单位：市发展改革委。责任单位：市国资委、市农业农村局、市机关事务局、市公共资源交易中心等相关单位，各县区政府）</w:t>
      </w:r>
    </w:p>
    <w:p>
      <w:pPr>
        <w:keepNext w:val="0"/>
        <w:keepLines w:val="0"/>
        <w:pageBreakBefore w:val="0"/>
        <w:widowControl w:val="0"/>
        <w:numPr>
          <w:ilvl w:val="0"/>
          <w:numId w:val="0"/>
        </w:numPr>
        <w:kinsoku/>
        <w:wordWrap/>
        <w:overflowPunct w:val="0"/>
        <w:topLinePunct w:val="0"/>
        <w:autoSpaceDE/>
        <w:autoSpaceDN/>
        <w:bidi w:val="0"/>
        <w:adjustRightInd/>
        <w:snapToGrid w:val="0"/>
        <w:spacing w:line="600" w:lineRule="exact"/>
        <w:ind w:right="0" w:rightChars="0" w:firstLine="643" w:firstLineChars="200"/>
        <w:textAlignment w:val="auto"/>
        <w:outlineLvl w:val="9"/>
        <w:rPr>
          <w:rFonts w:hint="eastAsia" w:ascii="仿宋" w:hAnsi="仿宋" w:eastAsia="仿宋" w:cs="仿宋"/>
          <w:color w:val="auto"/>
          <w:sz w:val="32"/>
          <w:szCs w:val="32"/>
          <w:highlight w:val="none"/>
          <w:lang w:eastAsia="zh-CN"/>
        </w:rPr>
      </w:pPr>
      <w:r>
        <w:rPr>
          <w:rFonts w:hint="eastAsia" w:ascii="楷体" w:hAnsi="楷体" w:eastAsia="楷体" w:cs="楷体"/>
          <w:b/>
          <w:bCs/>
          <w:color w:val="auto"/>
          <w:sz w:val="32"/>
          <w:szCs w:val="32"/>
          <w:highlight w:val="none"/>
          <w:lang w:val="en-US" w:eastAsia="zh-CN"/>
        </w:rPr>
        <w:t>（四）发挥国有资本投资、运营公司及资产管理公司功能作用。</w:t>
      </w:r>
      <w:r>
        <w:rPr>
          <w:rFonts w:hint="eastAsia" w:ascii="仿宋" w:hAnsi="仿宋" w:eastAsia="仿宋" w:cs="仿宋"/>
          <w:color w:val="auto"/>
          <w:sz w:val="32"/>
          <w:szCs w:val="32"/>
          <w:highlight w:val="none"/>
          <w:lang w:val="en-US" w:eastAsia="zh-CN"/>
        </w:rPr>
        <w:t>鼓励国有企业依托国有资本投资、运营公司，按规定通过进场交易、协议转让、无偿划转、资产置换、联合整合等方式，盘活长期闲置的存量资产，整合非主业资产。通过发行债券等方式，为符合条件的国有资本投资、运营公司盘活存量资产提供中长期资金支持。</w:t>
      </w:r>
      <w:r>
        <w:rPr>
          <w:rFonts w:hint="eastAsia" w:ascii="仿宋" w:hAnsi="仿宋" w:eastAsia="仿宋" w:cs="仿宋"/>
          <w:color w:val="auto"/>
          <w:sz w:val="32"/>
          <w:szCs w:val="32"/>
          <w:highlight w:val="none"/>
        </w:rPr>
        <w:t>鼓励金融资产管理、投资公司</w:t>
      </w:r>
      <w:r>
        <w:rPr>
          <w:rFonts w:hint="eastAsia" w:ascii="仿宋" w:hAnsi="仿宋" w:eastAsia="仿宋" w:cs="仿宋"/>
          <w:color w:val="auto"/>
          <w:sz w:val="32"/>
          <w:szCs w:val="32"/>
          <w:highlight w:val="none"/>
          <w:lang w:eastAsia="zh-CN"/>
        </w:rPr>
        <w:t>积极参与</w:t>
      </w:r>
      <w:r>
        <w:rPr>
          <w:rFonts w:hint="eastAsia" w:ascii="仿宋" w:hAnsi="仿宋" w:eastAsia="仿宋" w:cs="仿宋"/>
          <w:color w:val="auto"/>
          <w:sz w:val="32"/>
          <w:szCs w:val="32"/>
          <w:highlight w:val="none"/>
        </w:rPr>
        <w:t>盘活资产</w:t>
      </w:r>
      <w:r>
        <w:rPr>
          <w:rFonts w:hint="eastAsia" w:ascii="仿宋" w:hAnsi="仿宋" w:eastAsia="仿宋" w:cs="仿宋"/>
          <w:color w:val="auto"/>
          <w:sz w:val="32"/>
          <w:szCs w:val="32"/>
          <w:highlight w:val="none"/>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val="0"/>
        <w:spacing w:line="600" w:lineRule="exact"/>
        <w:ind w:right="0" w:rightChars="0" w:firstLine="640" w:firstLineChars="200"/>
        <w:textAlignment w:val="auto"/>
        <w:outlineLvl w:val="9"/>
        <w:rPr>
          <w:rFonts w:hint="eastAsia" w:ascii="楷体" w:hAnsi="楷体" w:eastAsia="楷体" w:cs="楷体"/>
          <w:color w:val="auto"/>
          <w:sz w:val="32"/>
          <w:szCs w:val="32"/>
          <w:highlight w:val="none"/>
          <w:lang w:val="en" w:eastAsia="zh-CN"/>
        </w:rPr>
      </w:pPr>
      <w:r>
        <w:rPr>
          <w:rFonts w:hint="eastAsia" w:ascii="楷体" w:hAnsi="楷体" w:eastAsia="楷体" w:cs="楷体"/>
          <w:color w:val="auto"/>
          <w:sz w:val="32"/>
          <w:szCs w:val="32"/>
          <w:highlight w:val="none"/>
          <w:lang w:val="en" w:eastAsia="zh-CN"/>
        </w:rPr>
        <w:t>（牵头单位：市国资委、市财政局、市金融监管局。责任单位：重点领域牵头单位，人民银行抚顺分行、抚顺银保监局等相关单位，各县区政府）</w:t>
      </w:r>
    </w:p>
    <w:p>
      <w:pPr>
        <w:keepNext w:val="0"/>
        <w:keepLines w:val="0"/>
        <w:pageBreakBefore w:val="0"/>
        <w:widowControl w:val="0"/>
        <w:numPr>
          <w:ilvl w:val="0"/>
          <w:numId w:val="0"/>
        </w:numPr>
        <w:kinsoku/>
        <w:wordWrap/>
        <w:overflowPunct w:val="0"/>
        <w:topLinePunct w:val="0"/>
        <w:autoSpaceDE/>
        <w:autoSpaceDN/>
        <w:bidi w:val="0"/>
        <w:adjustRightInd/>
        <w:snapToGrid w:val="0"/>
        <w:spacing w:line="600" w:lineRule="exact"/>
        <w:ind w:right="0" w:rightChars="0" w:firstLine="643" w:firstLineChars="200"/>
        <w:textAlignment w:val="auto"/>
        <w:outlineLvl w:val="9"/>
        <w:rPr>
          <w:rFonts w:hint="eastAsia" w:ascii="仿宋" w:hAnsi="仿宋" w:eastAsia="仿宋" w:cs="仿宋"/>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（五）探索促进闲置低效资产改造与转型。</w:t>
      </w:r>
      <w:r>
        <w:rPr>
          <w:rFonts w:hint="eastAsia" w:ascii="仿宋" w:hAnsi="仿宋" w:eastAsia="仿宋" w:cs="仿宋"/>
          <w:color w:val="auto"/>
          <w:sz w:val="32"/>
          <w:szCs w:val="32"/>
          <w:highlight w:val="none"/>
          <w:lang w:val="en-US" w:eastAsia="zh-CN"/>
        </w:rPr>
        <w:t>充分挖掘闲置低效资产价值，依法依规合理调整规划用途和开发强度，开发用于创新研发、卫生健康、养老托育、体育健身、休闲旅游、社区服务等新功能。探索污水处理厂下沉、交通枢纽地上地下空间综合开发等模式，拓宽收益来源，加强资产综合利用</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支持金融资产管理公司、金融资产投资公司以及国有资本投资、运营公司通过不良资产收购处置、实质性重组、市场化债转股等方式盘活闲置低效资产。</w:t>
      </w:r>
    </w:p>
    <w:p>
      <w:pPr>
        <w:keepNext w:val="0"/>
        <w:keepLines w:val="0"/>
        <w:pageBreakBefore w:val="0"/>
        <w:widowControl w:val="0"/>
        <w:numPr>
          <w:ilvl w:val="0"/>
          <w:numId w:val="0"/>
        </w:numPr>
        <w:kinsoku/>
        <w:wordWrap/>
        <w:overflowPunct w:val="0"/>
        <w:topLinePunct w:val="0"/>
        <w:autoSpaceDE/>
        <w:autoSpaceDN/>
        <w:bidi w:val="0"/>
        <w:adjustRightInd/>
        <w:snapToGrid w:val="0"/>
        <w:spacing w:line="600" w:lineRule="exact"/>
        <w:ind w:leftChars="200" w:right="0" w:rightChars="0" w:firstLine="320" w:firstLineChars="100"/>
        <w:textAlignment w:val="auto"/>
        <w:outlineLvl w:val="9"/>
        <w:rPr>
          <w:rFonts w:hint="eastAsia" w:ascii="楷体" w:hAnsi="楷体" w:eastAsia="楷体" w:cs="楷体"/>
          <w:color w:val="auto"/>
          <w:sz w:val="32"/>
          <w:szCs w:val="32"/>
          <w:highlight w:val="none"/>
          <w:lang w:val="en" w:eastAsia="zh-CN"/>
        </w:rPr>
      </w:pPr>
      <w:r>
        <w:rPr>
          <w:rFonts w:hint="eastAsia" w:ascii="楷体" w:hAnsi="楷体" w:eastAsia="楷体" w:cs="楷体"/>
          <w:color w:val="auto"/>
          <w:sz w:val="32"/>
          <w:szCs w:val="32"/>
          <w:highlight w:val="none"/>
          <w:lang w:val="en" w:eastAsia="zh-CN"/>
        </w:rPr>
        <w:t>（牵头单位：重点领域牵头单位。责任单位：各县区政府）</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3" w:firstLineChars="200"/>
        <w:textAlignment w:val="auto"/>
        <w:outlineLvl w:val="9"/>
        <w:rPr>
          <w:rFonts w:hint="eastAsia" w:ascii="仿宋" w:hAnsi="仿宋" w:eastAsia="仿宋" w:cs="仿宋"/>
          <w:color w:val="auto"/>
          <w:sz w:val="32"/>
          <w:szCs w:val="32"/>
          <w:highlight w:val="none"/>
        </w:rPr>
      </w:pPr>
      <w:r>
        <w:rPr>
          <w:rFonts w:hint="eastAsia" w:ascii="楷体" w:hAnsi="楷体" w:eastAsia="楷体" w:cs="楷体"/>
          <w:b/>
          <w:bCs/>
          <w:color w:val="auto"/>
          <w:sz w:val="32"/>
          <w:szCs w:val="32"/>
          <w:highlight w:val="none"/>
          <w:lang w:eastAsia="zh-CN"/>
        </w:rPr>
        <w:t>（六）</w:t>
      </w:r>
      <w:r>
        <w:rPr>
          <w:rFonts w:hint="eastAsia" w:ascii="楷体" w:hAnsi="楷体" w:eastAsia="楷体" w:cs="楷体"/>
          <w:b/>
          <w:bCs/>
          <w:color w:val="auto"/>
          <w:sz w:val="32"/>
          <w:szCs w:val="32"/>
          <w:highlight w:val="none"/>
        </w:rPr>
        <w:t>支持兼并重组等其他创新模式</w:t>
      </w:r>
      <w:r>
        <w:rPr>
          <w:rFonts w:hint="eastAsia" w:ascii="楷体" w:hAnsi="楷体" w:eastAsia="楷体" w:cs="楷体"/>
          <w:b/>
          <w:bCs/>
          <w:color w:val="auto"/>
          <w:sz w:val="32"/>
          <w:szCs w:val="32"/>
          <w:highlight w:val="none"/>
          <w:lang w:eastAsia="zh-CN"/>
        </w:rPr>
        <w:t>盘活</w:t>
      </w:r>
      <w:r>
        <w:rPr>
          <w:rFonts w:hint="eastAsia" w:ascii="楷体" w:hAnsi="楷体" w:eastAsia="楷体" w:cs="楷体"/>
          <w:b/>
          <w:bCs/>
          <w:color w:val="auto"/>
          <w:sz w:val="32"/>
          <w:szCs w:val="32"/>
          <w:highlight w:val="none"/>
        </w:rPr>
        <w:t>。</w:t>
      </w:r>
      <w:r>
        <w:rPr>
          <w:rFonts w:hint="eastAsia" w:ascii="仿宋" w:hAnsi="仿宋" w:eastAsia="仿宋" w:cs="仿宋"/>
          <w:color w:val="auto"/>
          <w:sz w:val="32"/>
          <w:szCs w:val="32"/>
          <w:highlight w:val="none"/>
        </w:rPr>
        <w:t>鼓励</w:t>
      </w:r>
      <w:r>
        <w:rPr>
          <w:rFonts w:hint="eastAsia" w:ascii="仿宋" w:hAnsi="仿宋" w:eastAsia="仿宋" w:cs="仿宋"/>
          <w:color w:val="auto"/>
          <w:sz w:val="32"/>
          <w:szCs w:val="32"/>
          <w:highlight w:val="none"/>
          <w:lang w:eastAsia="zh-CN"/>
        </w:rPr>
        <w:t>创新</w:t>
      </w:r>
      <w:r>
        <w:rPr>
          <w:rFonts w:hint="eastAsia" w:ascii="仿宋" w:hAnsi="仿宋" w:eastAsia="仿宋" w:cs="仿宋"/>
          <w:b w:val="0"/>
          <w:bCs/>
          <w:color w:val="auto"/>
          <w:sz w:val="32"/>
          <w:szCs w:val="32"/>
          <w:highlight w:val="none"/>
          <w:lang w:val="en-US" w:eastAsia="zh-CN"/>
        </w:rPr>
        <w:t>优化资产盘活方式，精准</w:t>
      </w:r>
      <w:r>
        <w:rPr>
          <w:rFonts w:hint="eastAsia" w:ascii="仿宋" w:hAnsi="仿宋" w:eastAsia="仿宋" w:cs="仿宋"/>
          <w:color w:val="auto"/>
          <w:sz w:val="32"/>
          <w:szCs w:val="32"/>
          <w:highlight w:val="none"/>
        </w:rPr>
        <w:t>盘活不同特点</w:t>
      </w:r>
      <w:r>
        <w:rPr>
          <w:rFonts w:hint="eastAsia" w:ascii="仿宋" w:hAnsi="仿宋" w:eastAsia="仿宋" w:cs="仿宋"/>
          <w:color w:val="auto"/>
          <w:sz w:val="32"/>
          <w:szCs w:val="32"/>
          <w:highlight w:val="none"/>
          <w:lang w:eastAsia="zh-CN"/>
        </w:rPr>
        <w:t>的</w:t>
      </w:r>
      <w:r>
        <w:rPr>
          <w:rFonts w:hint="eastAsia" w:ascii="仿宋" w:hAnsi="仿宋" w:eastAsia="仿宋" w:cs="仿宋"/>
          <w:color w:val="auto"/>
          <w:sz w:val="32"/>
          <w:szCs w:val="32"/>
          <w:highlight w:val="none"/>
        </w:rPr>
        <w:t>存量资产。积极探索通过资产证券化等市场化方式盘活存量资产。在符合反垄断等法律法规前提下，鼓励行业龙头企业通过兼并重组、产权转让等方式加强存量资产优化整合，提升资产质量和规模效益。通过混合所有制改革、引入战略投资方和专业运营管理机构等，提升存量资产项目的运营管理能力。</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textAlignment w:val="auto"/>
        <w:outlineLvl w:val="9"/>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 w:eastAsia="zh-CN"/>
        </w:rPr>
        <w:t>（牵头单位：重点领域牵头单位等相关单位，责任单位：市金融监管局、市国资委、抚顺银保监局等，各县区政府）</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3" w:firstLineChars="200"/>
        <w:textAlignment w:val="auto"/>
        <w:outlineLvl w:val="9"/>
        <w:rPr>
          <w:rFonts w:hint="eastAsia" w:ascii="黑体" w:hAnsi="黑体" w:eastAsia="黑体" w:cs="黑体"/>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四、重点工作安排</w:t>
      </w:r>
    </w:p>
    <w:p>
      <w:pPr>
        <w:keepNext w:val="0"/>
        <w:keepLines w:val="0"/>
        <w:pageBreakBefore w:val="0"/>
        <w:widowControl w:val="0"/>
        <w:kinsoku/>
        <w:wordWrap/>
        <w:overflowPunct w:val="0"/>
        <w:topLinePunct w:val="0"/>
        <w:autoSpaceDE/>
        <w:autoSpaceDN/>
        <w:bidi w:val="0"/>
        <w:adjustRightInd/>
        <w:snapToGrid w:val="0"/>
        <w:spacing w:line="600" w:lineRule="exact"/>
        <w:ind w:right="0" w:rightChars="0" w:firstLine="643" w:firstLineChars="200"/>
        <w:textAlignment w:val="auto"/>
        <w:outlineLvl w:val="9"/>
        <w:rPr>
          <w:rFonts w:hint="eastAsia" w:ascii="仿宋" w:hAnsi="仿宋" w:eastAsia="仿宋" w:cs="仿宋"/>
          <w:color w:val="auto"/>
          <w:sz w:val="32"/>
          <w:szCs w:val="32"/>
          <w:highlight w:val="none"/>
        </w:rPr>
      </w:pPr>
      <w:r>
        <w:rPr>
          <w:rFonts w:hint="eastAsia" w:ascii="楷体" w:hAnsi="楷体" w:eastAsia="楷体" w:cs="楷体"/>
          <w:b/>
          <w:bCs/>
          <w:color w:val="auto"/>
          <w:sz w:val="32"/>
          <w:szCs w:val="32"/>
          <w:highlight w:val="none"/>
          <w:lang w:val="en-US" w:eastAsia="zh-CN"/>
        </w:rPr>
        <w:t>（一）主要目标。</w:t>
      </w:r>
      <w:r>
        <w:rPr>
          <w:rFonts w:hint="eastAsia" w:ascii="仿宋" w:hAnsi="仿宋" w:eastAsia="仿宋" w:cs="仿宋"/>
          <w:color w:val="auto"/>
          <w:sz w:val="32"/>
          <w:szCs w:val="32"/>
          <w:highlight w:val="none"/>
        </w:rPr>
        <w:t>到</w:t>
      </w:r>
      <w:r>
        <w:rPr>
          <w:rFonts w:hint="eastAsia" w:ascii="仿宋" w:hAnsi="仿宋" w:eastAsia="仿宋" w:cs="仿宋"/>
          <w:color w:val="auto"/>
          <w:sz w:val="32"/>
          <w:szCs w:val="32"/>
          <w:highlight w:val="none"/>
          <w:lang w:val="en-US" w:eastAsia="zh-CN"/>
        </w:rPr>
        <w:t>2025年</w:t>
      </w:r>
      <w:r>
        <w:rPr>
          <w:rFonts w:hint="eastAsia" w:ascii="仿宋" w:hAnsi="仿宋" w:eastAsia="仿宋" w:cs="仿宋"/>
          <w:color w:val="auto"/>
          <w:sz w:val="32"/>
          <w:szCs w:val="32"/>
          <w:highlight w:val="none"/>
        </w:rPr>
        <w:t>，全</w:t>
      </w:r>
      <w:r>
        <w:rPr>
          <w:rFonts w:hint="eastAsia" w:ascii="仿宋" w:hAnsi="仿宋" w:eastAsia="仿宋" w:cs="仿宋"/>
          <w:color w:val="auto"/>
          <w:sz w:val="32"/>
          <w:szCs w:val="32"/>
          <w:highlight w:val="none"/>
          <w:lang w:eastAsia="zh-CN"/>
        </w:rPr>
        <w:t>市</w:t>
      </w:r>
      <w:r>
        <w:rPr>
          <w:rFonts w:hint="eastAsia" w:ascii="仿宋" w:hAnsi="仿宋" w:eastAsia="仿宋" w:cs="仿宋"/>
          <w:color w:val="auto"/>
          <w:sz w:val="32"/>
          <w:szCs w:val="32"/>
          <w:highlight w:val="none"/>
        </w:rPr>
        <w:t>盘活存量资产、扩大有效投资的工作机制稳定高效运行，重点领域存量资产盘活工作取得重大进展，盘活存量与新增投资相互补充、相互促进的良性循环基本形成。其中，2022年，</w:t>
      </w:r>
      <w:r>
        <w:rPr>
          <w:rFonts w:hint="eastAsia" w:ascii="仿宋" w:hAnsi="仿宋" w:eastAsia="仿宋" w:cs="仿宋"/>
          <w:color w:val="auto"/>
          <w:sz w:val="32"/>
          <w:szCs w:val="32"/>
          <w:highlight w:val="none"/>
          <w:lang w:eastAsia="zh-CN"/>
        </w:rPr>
        <w:t>初步形成全市</w:t>
      </w:r>
      <w:r>
        <w:rPr>
          <w:rFonts w:hint="eastAsia" w:ascii="仿宋" w:hAnsi="仿宋" w:eastAsia="仿宋" w:cs="仿宋"/>
          <w:color w:val="auto"/>
          <w:sz w:val="32"/>
          <w:szCs w:val="32"/>
          <w:highlight w:val="none"/>
        </w:rPr>
        <w:t>重点领域盘活存量资产</w:t>
      </w:r>
      <w:r>
        <w:rPr>
          <w:rFonts w:hint="eastAsia" w:ascii="仿宋" w:hAnsi="仿宋" w:eastAsia="仿宋" w:cs="仿宋"/>
          <w:color w:val="auto"/>
          <w:sz w:val="32"/>
          <w:szCs w:val="32"/>
          <w:highlight w:val="none"/>
          <w:lang w:eastAsia="zh-CN"/>
        </w:rPr>
        <w:t>项目</w:t>
      </w:r>
      <w:r>
        <w:rPr>
          <w:rFonts w:hint="eastAsia" w:ascii="仿宋" w:hAnsi="仿宋" w:eastAsia="仿宋" w:cs="仿宋"/>
          <w:color w:val="auto"/>
          <w:sz w:val="32"/>
          <w:szCs w:val="32"/>
          <w:highlight w:val="none"/>
        </w:rPr>
        <w:t>台账</w:t>
      </w:r>
      <w:r>
        <w:rPr>
          <w:rFonts w:hint="eastAsia" w:ascii="仿宋" w:hAnsi="仿宋" w:eastAsia="仿宋" w:cs="仿宋"/>
          <w:color w:val="auto"/>
          <w:sz w:val="32"/>
          <w:szCs w:val="32"/>
          <w:highlight w:val="none"/>
          <w:lang w:eastAsia="zh-CN"/>
        </w:rPr>
        <w:t>，积极申报</w:t>
      </w:r>
      <w:r>
        <w:rPr>
          <w:rFonts w:hint="eastAsia" w:ascii="仿宋" w:hAnsi="仿宋" w:eastAsia="仿宋" w:cs="仿宋"/>
          <w:color w:val="auto"/>
          <w:sz w:val="32"/>
          <w:szCs w:val="32"/>
          <w:highlight w:val="none"/>
        </w:rPr>
        <w:t>全省试点项目。</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textAlignment w:val="auto"/>
        <w:outlineLvl w:val="9"/>
        <w:rPr>
          <w:rFonts w:hint="eastAsia"/>
          <w:color w:val="auto"/>
          <w:highlight w:val="none"/>
        </w:rPr>
      </w:pPr>
      <w:r>
        <w:rPr>
          <w:rFonts w:hint="eastAsia" w:ascii="楷体" w:hAnsi="楷体" w:eastAsia="楷体" w:cs="楷体"/>
          <w:color w:val="auto"/>
          <w:sz w:val="32"/>
          <w:szCs w:val="32"/>
          <w:highlight w:val="none"/>
          <w:lang w:val="en" w:eastAsia="zh-CN"/>
        </w:rPr>
        <w:t>（牵头单位：重点领域牵头单位、市国资委、市财政局、市机关事务局等相关单位，各县区政府）</w:t>
      </w:r>
    </w:p>
    <w:p>
      <w:pPr>
        <w:keepNext w:val="0"/>
        <w:keepLines w:val="0"/>
        <w:pageBreakBefore w:val="0"/>
        <w:widowControl w:val="0"/>
        <w:kinsoku/>
        <w:wordWrap/>
        <w:overflowPunct w:val="0"/>
        <w:topLinePunct w:val="0"/>
        <w:autoSpaceDE/>
        <w:autoSpaceDN/>
        <w:bidi w:val="0"/>
        <w:adjustRightInd/>
        <w:snapToGrid w:val="0"/>
        <w:spacing w:line="600" w:lineRule="exact"/>
        <w:ind w:right="0" w:rightChars="0" w:firstLine="643" w:firstLineChars="200"/>
        <w:textAlignment w:val="auto"/>
        <w:outlineLvl w:val="9"/>
        <w:rPr>
          <w:rFonts w:hint="eastAsia" w:ascii="仿宋" w:hAnsi="仿宋" w:eastAsia="仿宋" w:cs="仿宋"/>
          <w:color w:val="auto"/>
          <w:sz w:val="32"/>
          <w:szCs w:val="32"/>
          <w:highlight w:val="none"/>
        </w:rPr>
      </w:pPr>
      <w:r>
        <w:rPr>
          <w:rFonts w:hint="eastAsia" w:ascii="楷体" w:hAnsi="楷体" w:eastAsia="楷体" w:cs="楷体"/>
          <w:b/>
          <w:bCs/>
          <w:color w:val="auto"/>
          <w:sz w:val="32"/>
          <w:szCs w:val="32"/>
          <w:highlight w:val="none"/>
          <w:lang w:eastAsia="zh-CN"/>
        </w:rPr>
        <w:t>（二）</w:t>
      </w:r>
      <w:r>
        <w:rPr>
          <w:rFonts w:hint="eastAsia" w:ascii="楷体" w:hAnsi="楷体" w:eastAsia="楷体" w:cs="楷体"/>
          <w:b/>
          <w:bCs/>
          <w:color w:val="auto"/>
          <w:sz w:val="32"/>
          <w:szCs w:val="32"/>
          <w:highlight w:val="none"/>
        </w:rPr>
        <w:t>全面梳理拟盘活存量资产台账。</w:t>
      </w:r>
      <w:r>
        <w:rPr>
          <w:rFonts w:hint="eastAsia" w:ascii="仿宋" w:hAnsi="仿宋" w:eastAsia="仿宋" w:cs="仿宋"/>
          <w:color w:val="auto"/>
          <w:sz w:val="32"/>
          <w:szCs w:val="32"/>
          <w:highlight w:val="none"/>
        </w:rPr>
        <w:t>一是</w:t>
      </w:r>
      <w:r>
        <w:rPr>
          <w:rFonts w:hint="eastAsia" w:ascii="仿宋" w:hAnsi="仿宋" w:eastAsia="仿宋" w:cs="仿宋"/>
          <w:color w:val="auto"/>
          <w:sz w:val="32"/>
          <w:szCs w:val="32"/>
          <w:highlight w:val="none"/>
          <w:lang w:val="en"/>
        </w:rPr>
        <w:t>重点领域牵头</w:t>
      </w:r>
      <w:r>
        <w:rPr>
          <w:rFonts w:hint="eastAsia" w:ascii="仿宋" w:hAnsi="仿宋" w:eastAsia="仿宋" w:cs="仿宋"/>
          <w:color w:val="auto"/>
          <w:sz w:val="32"/>
          <w:szCs w:val="32"/>
          <w:highlight w:val="none"/>
          <w:lang w:val="en" w:eastAsia="zh-CN"/>
        </w:rPr>
        <w:t>单位</w:t>
      </w:r>
      <w:r>
        <w:rPr>
          <w:rFonts w:hint="eastAsia" w:ascii="仿宋" w:hAnsi="仿宋" w:eastAsia="仿宋" w:cs="仿宋"/>
          <w:color w:val="auto"/>
          <w:sz w:val="32"/>
          <w:szCs w:val="32"/>
          <w:highlight w:val="none"/>
          <w:lang w:val="en"/>
        </w:rPr>
        <w:t>要</w:t>
      </w:r>
      <w:r>
        <w:rPr>
          <w:rFonts w:hint="eastAsia" w:ascii="仿宋" w:hAnsi="仿宋" w:eastAsia="仿宋" w:cs="仿宋"/>
          <w:color w:val="auto"/>
          <w:sz w:val="32"/>
          <w:szCs w:val="32"/>
          <w:highlight w:val="none"/>
          <w:lang w:val="en" w:eastAsia="zh-CN"/>
        </w:rPr>
        <w:t>结合本领域实际</w:t>
      </w:r>
      <w:r>
        <w:rPr>
          <w:rFonts w:hint="eastAsia" w:ascii="仿宋" w:hAnsi="仿宋" w:eastAsia="仿宋" w:cs="仿宋"/>
          <w:color w:val="auto"/>
          <w:sz w:val="32"/>
          <w:szCs w:val="32"/>
          <w:highlight w:val="none"/>
        </w:rPr>
        <w:t>，组织盘点梳理符合盘活要求、具备盘活条件的资产，</w:t>
      </w:r>
      <w:r>
        <w:rPr>
          <w:rFonts w:hint="eastAsia" w:ascii="仿宋" w:hAnsi="仿宋" w:eastAsia="仿宋" w:cs="仿宋"/>
          <w:color w:val="auto"/>
          <w:sz w:val="32"/>
          <w:szCs w:val="32"/>
          <w:highlight w:val="none"/>
          <w:lang w:eastAsia="zh-CN"/>
        </w:rPr>
        <w:t>按照</w:t>
      </w:r>
      <w:r>
        <w:rPr>
          <w:rFonts w:hint="eastAsia" w:ascii="仿宋" w:hAnsi="仿宋" w:eastAsia="仿宋" w:cs="仿宋"/>
          <w:color w:val="auto"/>
          <w:sz w:val="32"/>
          <w:szCs w:val="32"/>
          <w:highlight w:val="none"/>
        </w:rPr>
        <w:t>成熟度和轻重缓急形成分领域拟盘活存量资产台账。</w:t>
      </w:r>
      <w:r>
        <w:rPr>
          <w:rFonts w:hint="eastAsia" w:ascii="仿宋" w:hAnsi="仿宋" w:eastAsia="仿宋" w:cs="仿宋"/>
          <w:color w:val="auto"/>
          <w:sz w:val="32"/>
          <w:szCs w:val="32"/>
          <w:highlight w:val="none"/>
          <w:lang w:eastAsia="zh-CN"/>
        </w:rPr>
        <w:t>二</w:t>
      </w:r>
      <w:r>
        <w:rPr>
          <w:rFonts w:hint="eastAsia" w:ascii="仿宋" w:hAnsi="仿宋" w:eastAsia="仿宋" w:cs="仿宋"/>
          <w:color w:val="auto"/>
          <w:sz w:val="32"/>
          <w:szCs w:val="32"/>
          <w:highlight w:val="none"/>
        </w:rPr>
        <w:t>是各</w:t>
      </w:r>
      <w:r>
        <w:rPr>
          <w:rFonts w:hint="eastAsia" w:ascii="仿宋" w:hAnsi="仿宋" w:eastAsia="仿宋" w:cs="仿宋"/>
          <w:color w:val="auto"/>
          <w:sz w:val="32"/>
          <w:szCs w:val="32"/>
          <w:highlight w:val="none"/>
          <w:lang w:eastAsia="zh-CN"/>
        </w:rPr>
        <w:t>县区、各部门</w:t>
      </w:r>
      <w:r>
        <w:rPr>
          <w:rFonts w:hint="eastAsia" w:ascii="仿宋" w:hAnsi="仿宋" w:eastAsia="仿宋" w:cs="仿宋"/>
          <w:color w:val="auto"/>
          <w:sz w:val="32"/>
          <w:szCs w:val="32"/>
          <w:highlight w:val="none"/>
        </w:rPr>
        <w:t>要落实责任单位和责任人，动态调整拟盘活存量资产台账，做好跟踪调度</w:t>
      </w:r>
      <w:r>
        <w:rPr>
          <w:rFonts w:hint="eastAsia" w:ascii="仿宋" w:hAnsi="仿宋" w:eastAsia="仿宋" w:cs="仿宋"/>
          <w:color w:val="auto"/>
          <w:sz w:val="32"/>
          <w:szCs w:val="32"/>
          <w:highlight w:val="none"/>
          <w:lang w:eastAsia="zh-CN"/>
        </w:rPr>
        <w:t>和服务推进</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三是</w:t>
      </w:r>
      <w:r>
        <w:rPr>
          <w:rFonts w:ascii="Times New Roman" w:hAnsi="Times New Roman" w:eastAsia="仿宋_GB2312" w:cs="Times New Roman"/>
          <w:color w:val="auto"/>
          <w:sz w:val="32"/>
          <w:szCs w:val="32"/>
          <w:highlight w:val="none"/>
        </w:rPr>
        <w:t>选择</w:t>
      </w:r>
      <w:r>
        <w:rPr>
          <w:rFonts w:hint="eastAsia" w:ascii="仿宋" w:hAnsi="仿宋" w:eastAsia="仿宋" w:cs="仿宋"/>
          <w:color w:val="auto"/>
          <w:sz w:val="32"/>
          <w:szCs w:val="32"/>
          <w:highlight w:val="none"/>
        </w:rPr>
        <w:t>有吸引力、代表性强的重点</w:t>
      </w:r>
      <w:r>
        <w:rPr>
          <w:rFonts w:hint="eastAsia" w:ascii="仿宋" w:hAnsi="仿宋" w:eastAsia="仿宋" w:cs="仿宋"/>
          <w:color w:val="auto"/>
          <w:sz w:val="32"/>
          <w:szCs w:val="32"/>
          <w:highlight w:val="none"/>
          <w:lang w:eastAsia="zh-CN"/>
        </w:rPr>
        <w:t>盘活</w:t>
      </w:r>
      <w:r>
        <w:rPr>
          <w:rFonts w:hint="eastAsia" w:ascii="仿宋" w:hAnsi="仿宋" w:eastAsia="仿宋" w:cs="仿宋"/>
          <w:color w:val="auto"/>
          <w:sz w:val="32"/>
          <w:szCs w:val="32"/>
          <w:highlight w:val="none"/>
        </w:rPr>
        <w:t>项目，</w:t>
      </w:r>
      <w:r>
        <w:rPr>
          <w:rFonts w:hint="eastAsia" w:ascii="仿宋" w:hAnsi="仿宋" w:eastAsia="仿宋" w:cs="仿宋"/>
          <w:color w:val="auto"/>
          <w:sz w:val="32"/>
          <w:szCs w:val="32"/>
          <w:highlight w:val="none"/>
          <w:lang w:eastAsia="zh-CN"/>
        </w:rPr>
        <w:t>积极申报</w:t>
      </w:r>
      <w:r>
        <w:rPr>
          <w:rFonts w:hint="eastAsia" w:ascii="仿宋" w:hAnsi="仿宋" w:eastAsia="仿宋" w:cs="仿宋"/>
          <w:color w:val="auto"/>
          <w:sz w:val="32"/>
          <w:szCs w:val="32"/>
          <w:highlight w:val="none"/>
        </w:rPr>
        <w:t>全省试点项目</w:t>
      </w:r>
      <w:r>
        <w:rPr>
          <w:rFonts w:hint="eastAsia" w:ascii="仿宋" w:hAnsi="仿宋" w:eastAsia="仿宋" w:cs="仿宋"/>
          <w:color w:val="auto"/>
          <w:sz w:val="32"/>
          <w:szCs w:val="32"/>
          <w:highlight w:val="none"/>
          <w:lang w:eastAsia="zh-CN"/>
        </w:rPr>
        <w:t>，形成</w:t>
      </w:r>
      <w:r>
        <w:rPr>
          <w:rFonts w:hint="eastAsia" w:ascii="仿宋" w:hAnsi="仿宋" w:eastAsia="仿宋" w:cs="仿宋"/>
          <w:color w:val="auto"/>
          <w:sz w:val="32"/>
          <w:szCs w:val="32"/>
          <w:highlight w:val="none"/>
        </w:rPr>
        <w:t>试点示范</w:t>
      </w:r>
      <w:r>
        <w:rPr>
          <w:rFonts w:hint="eastAsia" w:ascii="仿宋" w:hAnsi="仿宋" w:eastAsia="仿宋" w:cs="仿宋"/>
          <w:color w:val="auto"/>
          <w:sz w:val="32"/>
          <w:szCs w:val="32"/>
          <w:highlight w:val="none"/>
          <w:lang w:eastAsia="zh-CN"/>
        </w:rPr>
        <w:t>引领作用</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textAlignment w:val="auto"/>
        <w:outlineLvl w:val="9"/>
        <w:rPr>
          <w:rFonts w:hint="eastAsia" w:ascii="楷体" w:hAnsi="楷体" w:eastAsia="楷体" w:cs="楷体"/>
          <w:color w:val="auto"/>
          <w:sz w:val="32"/>
          <w:szCs w:val="32"/>
          <w:highlight w:val="none"/>
          <w:lang w:val="en" w:eastAsia="zh-CN"/>
        </w:rPr>
      </w:pPr>
      <w:r>
        <w:rPr>
          <w:rFonts w:hint="eastAsia" w:ascii="楷体" w:hAnsi="楷体" w:eastAsia="楷体" w:cs="楷体"/>
          <w:color w:val="auto"/>
          <w:sz w:val="32"/>
          <w:szCs w:val="32"/>
          <w:highlight w:val="none"/>
          <w:lang w:val="en" w:eastAsia="zh-CN"/>
        </w:rPr>
        <w:t>（牵头单位：重点领域牵头单位、市国资委、市财政局、市机关事务局等相关单位，各县区政府）</w:t>
      </w:r>
    </w:p>
    <w:p>
      <w:pPr>
        <w:keepNext w:val="0"/>
        <w:keepLines w:val="0"/>
        <w:pageBreakBefore w:val="0"/>
        <w:widowControl w:val="0"/>
        <w:numPr>
          <w:ilvl w:val="0"/>
          <w:numId w:val="0"/>
        </w:numPr>
        <w:kinsoku/>
        <w:wordWrap/>
        <w:overflowPunct w:val="0"/>
        <w:topLinePunct w:val="0"/>
        <w:autoSpaceDE/>
        <w:autoSpaceDN/>
        <w:bidi w:val="0"/>
        <w:adjustRightInd/>
        <w:snapToGrid w:val="0"/>
        <w:spacing w:line="600" w:lineRule="exact"/>
        <w:ind w:right="0" w:rightChars="0" w:firstLine="643" w:firstLineChars="200"/>
        <w:textAlignment w:val="auto"/>
        <w:outlineLvl w:val="9"/>
        <w:rPr>
          <w:rFonts w:hint="eastAsia" w:ascii="仿宋" w:hAnsi="仿宋" w:eastAsia="仿宋" w:cs="仿宋"/>
          <w:color w:val="auto"/>
          <w:sz w:val="32"/>
          <w:szCs w:val="32"/>
          <w:highlight w:val="none"/>
          <w:lang w:val="en-US" w:eastAsia="zh-CN"/>
        </w:rPr>
      </w:pPr>
      <w:r>
        <w:rPr>
          <w:rFonts w:hint="eastAsia" w:ascii="楷体" w:hAnsi="楷体" w:eastAsia="楷体" w:cs="楷体"/>
          <w:b/>
          <w:bCs/>
          <w:color w:val="auto"/>
          <w:sz w:val="32"/>
          <w:szCs w:val="32"/>
          <w:highlight w:val="none"/>
          <w:lang w:eastAsia="zh-CN"/>
        </w:rPr>
        <w:t>（三）</w:t>
      </w:r>
      <w:r>
        <w:rPr>
          <w:rFonts w:hint="eastAsia" w:ascii="楷体" w:hAnsi="楷体" w:eastAsia="楷体" w:cs="楷体"/>
          <w:b/>
          <w:bCs/>
          <w:color w:val="auto"/>
          <w:sz w:val="32"/>
          <w:szCs w:val="32"/>
          <w:highlight w:val="none"/>
        </w:rPr>
        <w:t>全面推进盘活存量资产工作。</w:t>
      </w:r>
      <w:r>
        <w:rPr>
          <w:rFonts w:hint="eastAsia" w:ascii="仿宋" w:hAnsi="仿宋" w:eastAsia="仿宋" w:cs="仿宋"/>
          <w:color w:val="auto"/>
          <w:sz w:val="32"/>
          <w:szCs w:val="32"/>
          <w:highlight w:val="none"/>
          <w:lang w:eastAsia="zh-CN"/>
        </w:rPr>
        <w:t>一是重点领域牵头部门要与省有关部门做好对接，与相关管理咨询机构加强沟通，做好本行业领域盘活闲置资产工作的指导和协调，加快推进存量资产盘活。二是</w:t>
      </w:r>
      <w:r>
        <w:rPr>
          <w:rFonts w:hint="eastAsia" w:ascii="仿宋" w:hAnsi="仿宋" w:eastAsia="仿宋" w:cs="仿宋"/>
          <w:color w:val="auto"/>
          <w:sz w:val="32"/>
          <w:szCs w:val="32"/>
          <w:highlight w:val="none"/>
          <w:lang w:val="en-US" w:eastAsia="zh-CN"/>
        </w:rPr>
        <w:t>各县区政府要落实主体责任，因地制宜研究制定本地区盘活闲置资产方法，针对不同类型资产情况和相关盘活条件，精准施策，压实工作任务和责任，着力解决企业单位在盘活存量资产过程中遇到的问题，加快闲置资产盘活进度。</w:t>
      </w:r>
    </w:p>
    <w:p>
      <w:pPr>
        <w:keepNext w:val="0"/>
        <w:keepLines w:val="0"/>
        <w:pageBreakBefore w:val="0"/>
        <w:widowControl w:val="0"/>
        <w:numPr>
          <w:ilvl w:val="0"/>
          <w:numId w:val="0"/>
        </w:numPr>
        <w:kinsoku/>
        <w:wordWrap/>
        <w:overflowPunct w:val="0"/>
        <w:topLinePunct w:val="0"/>
        <w:autoSpaceDE/>
        <w:autoSpaceDN/>
        <w:bidi w:val="0"/>
        <w:adjustRightInd/>
        <w:snapToGrid w:val="0"/>
        <w:spacing w:line="600" w:lineRule="exact"/>
        <w:ind w:right="0" w:rightChars="0" w:firstLine="640" w:firstLineChars="200"/>
        <w:textAlignment w:val="auto"/>
        <w:outlineLvl w:val="9"/>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 w:eastAsia="zh-CN"/>
        </w:rPr>
        <w:t>（牵头单位：重点领域牵头单位、市国资委、市财政局、市机关事务局等相关单位，各县区政府）</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五、保障措施</w:t>
      </w:r>
    </w:p>
    <w:p>
      <w:pPr>
        <w:pStyle w:val="2"/>
        <w:keepNext w:val="0"/>
        <w:keepLines w:val="0"/>
        <w:pageBreakBefore w:val="0"/>
        <w:widowControl w:val="0"/>
        <w:kinsoku/>
        <w:wordWrap/>
        <w:topLinePunct w:val="0"/>
        <w:autoSpaceDE/>
        <w:autoSpaceDN/>
        <w:bidi w:val="0"/>
        <w:adjustRightInd/>
        <w:snapToGrid w:val="0"/>
        <w:spacing w:line="600" w:lineRule="exact"/>
        <w:ind w:firstLine="643" w:firstLineChars="200"/>
        <w:textAlignment w:val="auto"/>
        <w:rPr>
          <w:rFonts w:hint="eastAsia" w:ascii="楷体" w:hAnsi="楷体" w:eastAsia="楷体" w:cs="楷体"/>
          <w:b/>
          <w:bCs/>
          <w:color w:val="auto"/>
          <w:kern w:val="2"/>
          <w:sz w:val="32"/>
          <w:szCs w:val="32"/>
          <w:highlight w:val="none"/>
          <w:lang w:val="en-US" w:eastAsia="zh-CN" w:bidi="ar-SA"/>
        </w:rPr>
      </w:pPr>
      <w:r>
        <w:rPr>
          <w:rFonts w:hint="eastAsia" w:ascii="楷体" w:hAnsi="楷体" w:eastAsia="楷体" w:cs="楷体"/>
          <w:b/>
          <w:bCs/>
          <w:color w:val="auto"/>
          <w:kern w:val="2"/>
          <w:sz w:val="32"/>
          <w:szCs w:val="32"/>
          <w:highlight w:val="none"/>
          <w:lang w:val="en-US" w:eastAsia="zh-CN" w:bidi="ar-SA"/>
        </w:rPr>
        <w:t>（一）加强组织领导，强化责任落实</w:t>
      </w:r>
    </w:p>
    <w:p>
      <w:pPr>
        <w:keepNext w:val="0"/>
        <w:keepLines w:val="0"/>
        <w:pageBreakBefore w:val="0"/>
        <w:widowControl w:val="0"/>
        <w:kinsoku/>
        <w:wordWrap/>
        <w:overflowPunct w:val="0"/>
        <w:topLinePunct w:val="0"/>
        <w:autoSpaceDE/>
        <w:autoSpaceDN/>
        <w:bidi w:val="0"/>
        <w:adjustRightInd/>
        <w:snapToGrid w:val="0"/>
        <w:spacing w:line="600" w:lineRule="exact"/>
        <w:ind w:left="0" w:leftChars="0" w:right="0" w:rightChars="0"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在市政府统一领导下，市发展改革委会同市财政局、自然资源局、住房城乡建设局、国资委、商务局、交通局、生态环境局等</w:t>
      </w:r>
      <w:r>
        <w:rPr>
          <w:rFonts w:hint="eastAsia" w:ascii="仿宋" w:hAnsi="仿宋" w:eastAsia="仿宋" w:cs="仿宋"/>
          <w:color w:val="auto"/>
          <w:sz w:val="32"/>
          <w:szCs w:val="32"/>
          <w:highlight w:val="none"/>
          <w:lang w:val="en" w:eastAsia="zh-CN"/>
        </w:rPr>
        <w:t>重点领域牵头单位，</w:t>
      </w:r>
      <w:r>
        <w:rPr>
          <w:rFonts w:hint="eastAsia" w:ascii="仿宋" w:hAnsi="仿宋" w:eastAsia="仿宋" w:cs="仿宋"/>
          <w:color w:val="auto"/>
          <w:sz w:val="32"/>
          <w:szCs w:val="32"/>
          <w:highlight w:val="none"/>
          <w:lang w:val="en-US" w:eastAsia="zh-CN"/>
        </w:rPr>
        <w:t>金融监管局、人行银行抚顺分行、抚顺银保监局等相关单位和各县区政府，加强信息沟通和政策衔接，建立盘活存量资产扩大有效投资工作推进机制，明确任务分工，加强督促指导，协调解决共性问题，合力推进盘活工作。</w:t>
      </w:r>
      <w:r>
        <w:rPr>
          <w:rFonts w:hint="eastAsia" w:ascii="仿宋" w:hAnsi="仿宋" w:eastAsia="仿宋" w:cs="仿宋"/>
          <w:color w:val="auto"/>
          <w:sz w:val="32"/>
          <w:szCs w:val="32"/>
          <w:highlight w:val="none"/>
          <w:lang w:eastAsia="zh-CN"/>
        </w:rPr>
        <w:t>各县区要发挥主体作用，创新工作机制，细化工作举措，确保本地区盘活存量工作取得实效。</w:t>
      </w:r>
    </w:p>
    <w:p>
      <w:pPr>
        <w:keepNext w:val="0"/>
        <w:keepLines w:val="0"/>
        <w:pageBreakBefore w:val="0"/>
        <w:widowControl w:val="0"/>
        <w:numPr>
          <w:ilvl w:val="0"/>
          <w:numId w:val="0"/>
        </w:numPr>
        <w:kinsoku/>
        <w:wordWrap/>
        <w:overflowPunct w:val="0"/>
        <w:topLinePunct w:val="0"/>
        <w:autoSpaceDE/>
        <w:autoSpaceDN/>
        <w:bidi w:val="0"/>
        <w:adjustRightInd/>
        <w:snapToGrid w:val="0"/>
        <w:spacing w:line="600" w:lineRule="exact"/>
        <w:ind w:left="630" w:leftChars="0" w:right="0" w:rightChars="0"/>
        <w:textAlignment w:val="auto"/>
        <w:outlineLvl w:val="9"/>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（二）加大支持力度，有序推进盘活</w:t>
      </w:r>
    </w:p>
    <w:p>
      <w:pPr>
        <w:keepNext w:val="0"/>
        <w:keepLines w:val="0"/>
        <w:pageBreakBefore w:val="0"/>
        <w:widowControl w:val="0"/>
        <w:numPr>
          <w:ilvl w:val="0"/>
          <w:numId w:val="0"/>
        </w:numPr>
        <w:kinsoku/>
        <w:wordWrap/>
        <w:overflowPunct w:val="0"/>
        <w:topLinePunct w:val="0"/>
        <w:autoSpaceDE/>
        <w:autoSpaceDN/>
        <w:bidi w:val="0"/>
        <w:adjustRightInd/>
        <w:snapToGrid w:val="0"/>
        <w:spacing w:line="600" w:lineRule="exact"/>
        <w:ind w:right="0" w:rightChars="0"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 w:eastAsia="zh-CN"/>
        </w:rPr>
        <w:t>重点领域牵头部门和</w:t>
      </w:r>
      <w:r>
        <w:rPr>
          <w:rFonts w:hint="eastAsia" w:ascii="仿宋" w:hAnsi="仿宋" w:eastAsia="仿宋" w:cs="仿宋"/>
          <w:color w:val="auto"/>
          <w:sz w:val="32"/>
          <w:szCs w:val="32"/>
          <w:highlight w:val="none"/>
          <w:lang w:val="en-US" w:eastAsia="zh-CN"/>
        </w:rPr>
        <w:t>各县区要加强沟通协调，针对存量资产项目具体情况，推动分类落实各项盘活条件。对项目前期工作手续不齐全的项目，推动有关方面按规定补办相关手续，加快履行竣工验收等程序。对产权不明晰的项目，依法依规理顺产权关系，完成产权界定，加快办理相关产权登记。对确需调整相关规划或土地用途的项目，推动有关方面充分开展规划实施评估，依法依规履行相关程序，创造条件积极予以支持。对整体收益水平较低的项目，指导开展资产重组，通过将准公益性、经营性项目打包等方式，提升资产吸引力。对于符合要求的项目，加强财税金融支持。</w:t>
      </w:r>
    </w:p>
    <w:p>
      <w:pPr>
        <w:keepNext w:val="0"/>
        <w:keepLines w:val="0"/>
        <w:pageBreakBefore w:val="0"/>
        <w:widowControl w:val="0"/>
        <w:numPr>
          <w:ilvl w:val="0"/>
          <w:numId w:val="0"/>
        </w:numPr>
        <w:kinsoku/>
        <w:wordWrap/>
        <w:overflowPunct w:val="0"/>
        <w:topLinePunct w:val="0"/>
        <w:autoSpaceDE/>
        <w:autoSpaceDN/>
        <w:bidi w:val="0"/>
        <w:adjustRightInd/>
        <w:snapToGrid w:val="0"/>
        <w:spacing w:line="600" w:lineRule="exact"/>
        <w:ind w:right="0" w:rightChars="0" w:firstLine="640" w:firstLineChars="200"/>
        <w:textAlignment w:val="auto"/>
        <w:outlineLvl w:val="9"/>
        <w:rPr>
          <w:rFonts w:hint="eastAsia" w:ascii="楷体" w:hAnsi="楷体" w:eastAsia="楷体" w:cs="楷体"/>
          <w:color w:val="auto"/>
          <w:sz w:val="32"/>
          <w:szCs w:val="32"/>
          <w:highlight w:val="none"/>
          <w:lang w:val="en" w:eastAsia="zh-CN"/>
        </w:rPr>
      </w:pPr>
      <w:r>
        <w:rPr>
          <w:rFonts w:hint="eastAsia" w:ascii="楷体" w:hAnsi="楷体" w:eastAsia="楷体" w:cs="楷体"/>
          <w:color w:val="auto"/>
          <w:sz w:val="32"/>
          <w:szCs w:val="32"/>
          <w:highlight w:val="none"/>
          <w:lang w:val="en" w:eastAsia="zh-CN"/>
        </w:rPr>
        <w:t>（牵头单位：市发展改革委、市财政局、市</w:t>
      </w:r>
      <w:r>
        <w:rPr>
          <w:rFonts w:hint="eastAsia" w:ascii="Times New Roman" w:hAnsi="Times New Roman" w:eastAsia="楷体_GB2312" w:cs="楷体_GB2312"/>
          <w:color w:val="auto"/>
          <w:sz w:val="32"/>
          <w:szCs w:val="32"/>
          <w:highlight w:val="none"/>
          <w:lang w:val="en" w:eastAsia="zh-CN"/>
        </w:rPr>
        <w:t>金融监管局、市税务局、</w:t>
      </w:r>
      <w:r>
        <w:rPr>
          <w:rFonts w:hint="eastAsia" w:ascii="楷体" w:hAnsi="楷体" w:eastAsia="楷体" w:cs="楷体"/>
          <w:color w:val="auto"/>
          <w:sz w:val="32"/>
          <w:szCs w:val="32"/>
          <w:highlight w:val="none"/>
          <w:lang w:val="en" w:eastAsia="zh-CN"/>
        </w:rPr>
        <w:t>重点领域牵头单位、</w:t>
      </w:r>
      <w:r>
        <w:rPr>
          <w:rFonts w:hint="eastAsia" w:ascii="Times New Roman" w:hAnsi="Times New Roman" w:eastAsia="楷体_GB2312" w:cs="楷体_GB2312"/>
          <w:color w:val="auto"/>
          <w:sz w:val="32"/>
          <w:szCs w:val="32"/>
          <w:highlight w:val="none"/>
          <w:lang w:val="en" w:eastAsia="zh-CN"/>
        </w:rPr>
        <w:t>人民银行抚顺分行，各县区政府</w:t>
      </w:r>
      <w:r>
        <w:rPr>
          <w:rFonts w:hint="eastAsia" w:ascii="楷体" w:hAnsi="楷体" w:eastAsia="楷体" w:cs="楷体"/>
          <w:color w:val="auto"/>
          <w:sz w:val="32"/>
          <w:szCs w:val="32"/>
          <w:highlight w:val="none"/>
          <w:lang w:val="en" w:eastAsia="zh-CN"/>
        </w:rPr>
        <w:t>。责任单位：</w:t>
      </w:r>
      <w:r>
        <w:rPr>
          <w:rFonts w:hint="eastAsia" w:ascii="Times New Roman" w:hAnsi="Times New Roman" w:eastAsia="楷体_GB2312" w:cs="楷体_GB2312"/>
          <w:color w:val="auto"/>
          <w:sz w:val="32"/>
          <w:szCs w:val="32"/>
          <w:highlight w:val="none"/>
          <w:lang w:val="en" w:eastAsia="zh-CN"/>
        </w:rPr>
        <w:t>抚顺银保监局等相关单位</w:t>
      </w:r>
      <w:r>
        <w:rPr>
          <w:rFonts w:hint="eastAsia" w:ascii="楷体" w:hAnsi="楷体" w:eastAsia="楷体" w:cs="楷体"/>
          <w:color w:val="auto"/>
          <w:sz w:val="32"/>
          <w:szCs w:val="32"/>
          <w:highlight w:val="none"/>
          <w:lang w:val="en"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val="0"/>
        <w:spacing w:line="600" w:lineRule="exact"/>
        <w:ind w:right="0" w:rightChars="0" w:firstLine="643" w:firstLineChars="200"/>
        <w:textAlignment w:val="auto"/>
        <w:outlineLvl w:val="9"/>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（三）</w:t>
      </w:r>
      <w:r>
        <w:rPr>
          <w:rFonts w:hint="eastAsia" w:ascii="楷体" w:hAnsi="楷体" w:eastAsia="楷体" w:cs="楷体"/>
          <w:b/>
          <w:bCs/>
          <w:color w:val="auto"/>
          <w:sz w:val="32"/>
          <w:szCs w:val="32"/>
          <w:highlight w:val="none"/>
          <w:lang w:eastAsia="zh-CN"/>
        </w:rPr>
        <w:t>增</w:t>
      </w:r>
      <w:r>
        <w:rPr>
          <w:rFonts w:hint="eastAsia" w:ascii="楷体" w:hAnsi="楷体" w:eastAsia="楷体" w:cs="楷体"/>
          <w:b/>
          <w:bCs/>
          <w:color w:val="auto"/>
          <w:sz w:val="32"/>
          <w:szCs w:val="32"/>
          <w:highlight w:val="none"/>
        </w:rPr>
        <w:t>强风险防控</w:t>
      </w:r>
      <w:r>
        <w:rPr>
          <w:rFonts w:hint="eastAsia" w:ascii="楷体" w:hAnsi="楷体" w:eastAsia="楷体" w:cs="楷体"/>
          <w:b/>
          <w:bCs/>
          <w:color w:val="auto"/>
          <w:sz w:val="32"/>
          <w:szCs w:val="32"/>
          <w:highlight w:val="none"/>
          <w:lang w:eastAsia="zh-CN"/>
        </w:rPr>
        <w:t>，</w:t>
      </w:r>
      <w:r>
        <w:rPr>
          <w:rFonts w:hint="eastAsia" w:ascii="楷体" w:hAnsi="楷体" w:eastAsia="楷体" w:cs="楷体"/>
          <w:b/>
          <w:bCs/>
          <w:color w:val="auto"/>
          <w:sz w:val="32"/>
          <w:szCs w:val="32"/>
          <w:highlight w:val="none"/>
        </w:rPr>
        <w:t>保障</w:t>
      </w:r>
      <w:r>
        <w:rPr>
          <w:rFonts w:hint="eastAsia" w:ascii="楷体" w:hAnsi="楷体" w:eastAsia="楷体" w:cs="楷体"/>
          <w:b/>
          <w:bCs/>
          <w:color w:val="auto"/>
          <w:sz w:val="32"/>
          <w:szCs w:val="32"/>
          <w:highlight w:val="none"/>
          <w:lang w:eastAsia="zh-CN"/>
        </w:rPr>
        <w:t>盘活</w:t>
      </w:r>
      <w:r>
        <w:rPr>
          <w:rFonts w:hint="eastAsia" w:ascii="楷体" w:hAnsi="楷体" w:eastAsia="楷体" w:cs="楷体"/>
          <w:b/>
          <w:bCs/>
          <w:color w:val="auto"/>
          <w:sz w:val="32"/>
          <w:szCs w:val="32"/>
          <w:highlight w:val="none"/>
        </w:rPr>
        <w:t>质量</w:t>
      </w:r>
    </w:p>
    <w:p>
      <w:pPr>
        <w:keepNext w:val="0"/>
        <w:keepLines w:val="0"/>
        <w:pageBreakBefore w:val="0"/>
        <w:widowControl w:val="0"/>
        <w:numPr>
          <w:ilvl w:val="0"/>
          <w:numId w:val="0"/>
        </w:numPr>
        <w:kinsoku/>
        <w:wordWrap/>
        <w:overflowPunct w:val="0"/>
        <w:topLinePunct w:val="0"/>
        <w:autoSpaceDE/>
        <w:autoSpaceDN/>
        <w:bidi w:val="0"/>
        <w:adjustRightInd/>
        <w:snapToGrid w:val="0"/>
        <w:spacing w:line="600" w:lineRule="exact"/>
        <w:ind w:right="0" w:rightChars="0" w:firstLine="640" w:firstLineChars="200"/>
        <w:textAlignment w:val="auto"/>
        <w:outlineLvl w:val="9"/>
        <w:rPr>
          <w:rFonts w:hint="eastAsia" w:ascii="仿宋" w:hAnsi="仿宋" w:eastAsia="仿宋" w:cs="仿宋"/>
          <w:color w:val="auto"/>
          <w:sz w:val="32"/>
          <w:szCs w:val="32"/>
          <w:highlight w:val="none"/>
          <w:lang w:val="en" w:eastAsia="zh-CN"/>
        </w:rPr>
      </w:pPr>
      <w:r>
        <w:rPr>
          <w:rFonts w:hint="eastAsia" w:ascii="仿宋" w:hAnsi="仿宋" w:eastAsia="仿宋" w:cs="仿宋"/>
          <w:color w:val="auto"/>
          <w:sz w:val="32"/>
          <w:szCs w:val="32"/>
          <w:highlight w:val="none"/>
          <w:lang w:val="en" w:eastAsia="zh-CN"/>
        </w:rPr>
        <w:t>一是坚持依法依规、公开透明，严格落实防范化解地方政府隐性债务风险的要求，严禁在盘活存量资产过程中新增地方政府隐性债务，严控金融风险等。二是严格落实国有资产监督管理规定，严防国有资产流失，充分保障债权人的合法权益，多措并举做好职工安置。三是加强建设项目社会稳定、生态环境、工程质量、安全生产等领域风险防控。四是防范基础设施项目运行风险，保持基础设施稳健运营，切实保障公共利益。五是提升专业机构合规履职能力，依托专业机构力量培育和建立专业服务智库机构，加强政策宣贯解读和法治保障，对违反相关法律法规的中介机构依法追责。</w:t>
      </w:r>
    </w:p>
    <w:p>
      <w:pPr>
        <w:keepNext w:val="0"/>
        <w:keepLines w:val="0"/>
        <w:pageBreakBefore w:val="0"/>
        <w:widowControl w:val="0"/>
        <w:numPr>
          <w:ilvl w:val="0"/>
          <w:numId w:val="0"/>
        </w:numPr>
        <w:kinsoku/>
        <w:wordWrap/>
        <w:overflowPunct w:val="0"/>
        <w:topLinePunct w:val="0"/>
        <w:autoSpaceDE/>
        <w:autoSpaceDN/>
        <w:bidi w:val="0"/>
        <w:adjustRightInd/>
        <w:snapToGrid w:val="0"/>
        <w:spacing w:line="600" w:lineRule="exact"/>
        <w:ind w:right="0" w:rightChars="0" w:firstLine="640" w:firstLineChars="200"/>
        <w:textAlignment w:val="auto"/>
        <w:outlineLvl w:val="9"/>
        <w:rPr>
          <w:rFonts w:hint="eastAsia"/>
          <w:color w:val="auto"/>
          <w:highlight w:val="none"/>
          <w:lang w:val="en" w:eastAsia="zh-CN"/>
        </w:rPr>
      </w:pPr>
      <w:r>
        <w:rPr>
          <w:rFonts w:hint="eastAsia" w:ascii="楷体" w:hAnsi="楷体" w:eastAsia="楷体" w:cs="楷体"/>
          <w:color w:val="auto"/>
          <w:sz w:val="32"/>
          <w:szCs w:val="32"/>
          <w:highlight w:val="none"/>
          <w:lang w:val="en" w:eastAsia="zh-CN"/>
        </w:rPr>
        <w:t>（牵头单位：重点领域牵头单位，各县区政府。责任单位：市</w:t>
      </w:r>
      <w:r>
        <w:rPr>
          <w:rFonts w:hint="eastAsia" w:ascii="Times New Roman" w:hAnsi="Times New Roman" w:eastAsia="楷体_GB2312" w:cs="楷体_GB2312"/>
          <w:color w:val="auto"/>
          <w:sz w:val="32"/>
          <w:szCs w:val="32"/>
          <w:highlight w:val="none"/>
          <w:lang w:val="en" w:eastAsia="zh-CN"/>
        </w:rPr>
        <w:t>财政局、</w:t>
      </w:r>
      <w:r>
        <w:rPr>
          <w:rFonts w:hint="eastAsia" w:ascii="楷体" w:hAnsi="楷体" w:eastAsia="楷体" w:cs="楷体"/>
          <w:color w:val="auto"/>
          <w:sz w:val="32"/>
          <w:szCs w:val="32"/>
          <w:highlight w:val="none"/>
          <w:lang w:val="en" w:eastAsia="zh-CN"/>
        </w:rPr>
        <w:t>市司法局、市</w:t>
      </w:r>
      <w:r>
        <w:rPr>
          <w:rFonts w:hint="eastAsia" w:ascii="Times New Roman" w:hAnsi="Times New Roman" w:eastAsia="楷体_GB2312" w:cs="楷体_GB2312"/>
          <w:color w:val="auto"/>
          <w:sz w:val="32"/>
          <w:szCs w:val="32"/>
          <w:highlight w:val="none"/>
          <w:lang w:val="en" w:eastAsia="zh-CN"/>
        </w:rPr>
        <w:t>人力资源社会保障局、市金融监管局，抚顺银保监局等相关单位</w:t>
      </w:r>
      <w:r>
        <w:rPr>
          <w:rFonts w:hint="eastAsia" w:ascii="楷体" w:hAnsi="楷体" w:eastAsia="楷体" w:cs="楷体"/>
          <w:color w:val="auto"/>
          <w:sz w:val="32"/>
          <w:szCs w:val="32"/>
          <w:highlight w:val="none"/>
          <w:lang w:val="en"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val="0"/>
        <w:spacing w:line="600" w:lineRule="exact"/>
        <w:ind w:left="630" w:leftChars="0" w:right="0" w:rightChars="0"/>
        <w:textAlignment w:val="auto"/>
        <w:outlineLvl w:val="9"/>
        <w:rPr>
          <w:rFonts w:hint="eastAsia" w:ascii="楷体" w:hAnsi="楷体" w:eastAsia="楷体" w:cs="楷体"/>
          <w:b/>
          <w:bCs/>
          <w:color w:val="auto"/>
          <w:sz w:val="32"/>
          <w:szCs w:val="32"/>
          <w:highlight w:val="none"/>
          <w:lang w:val="en" w:eastAsia="zh-CN"/>
        </w:rPr>
      </w:pPr>
      <w:r>
        <w:rPr>
          <w:rFonts w:hint="eastAsia" w:ascii="楷体" w:hAnsi="楷体" w:eastAsia="楷体" w:cs="楷体"/>
          <w:b/>
          <w:bCs/>
          <w:color w:val="auto"/>
          <w:sz w:val="32"/>
          <w:szCs w:val="32"/>
          <w:highlight w:val="none"/>
          <w:lang w:val="en-US" w:eastAsia="zh-CN"/>
        </w:rPr>
        <w:t>（四）强化督促激励，调动各界参与</w:t>
      </w:r>
    </w:p>
    <w:p>
      <w:pPr>
        <w:keepNext w:val="0"/>
        <w:keepLines w:val="0"/>
        <w:pageBreakBefore w:val="0"/>
        <w:widowControl w:val="0"/>
        <w:numPr>
          <w:ilvl w:val="0"/>
          <w:numId w:val="0"/>
        </w:numPr>
        <w:kinsoku/>
        <w:wordWrap/>
        <w:overflowPunct w:val="0"/>
        <w:topLinePunct w:val="0"/>
        <w:autoSpaceDE/>
        <w:autoSpaceDN/>
        <w:bidi w:val="0"/>
        <w:adjustRightInd/>
        <w:snapToGrid w:val="0"/>
        <w:spacing w:line="600" w:lineRule="exact"/>
        <w:ind w:right="0" w:rightChars="0" w:firstLine="640"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 w:eastAsia="zh-CN"/>
        </w:rPr>
        <w:t>加强宣传引导，推动有关方面充分认识盘活存量资产在防范和化解地方政府隐性债务风险、提高企业再投资能力、提升基础设施运营效率等方面的积极作用，调动参与盘活存量资产的积极性，为盘活存量资产创造良好条件和氛围。对盘活存量资产、扩大有效投资工作成效突出的单位，以适当方式给予激励；对地方政府债务率较高的地区，重点督促其通过盘活存量资产降低债务率、提高再投资能力；对资产长期闲置、盘活工作不力的，加大督促力度，推动切实抓好盘活存量资产工作，为扩大有效投资、稳定经济增长作出积极贡献。</w:t>
      </w:r>
    </w:p>
    <w:p>
      <w:pPr>
        <w:keepNext w:val="0"/>
        <w:keepLines w:val="0"/>
        <w:pageBreakBefore w:val="0"/>
        <w:widowControl w:val="0"/>
        <w:numPr>
          <w:ilvl w:val="0"/>
          <w:numId w:val="0"/>
        </w:numPr>
        <w:kinsoku/>
        <w:wordWrap/>
        <w:overflowPunct w:val="0"/>
        <w:topLinePunct w:val="0"/>
        <w:autoSpaceDE/>
        <w:autoSpaceDN/>
        <w:bidi w:val="0"/>
        <w:adjustRightInd/>
        <w:snapToGrid w:val="0"/>
        <w:spacing w:line="600" w:lineRule="exact"/>
        <w:ind w:right="0" w:rightChars="0" w:firstLine="640" w:firstLineChars="200"/>
        <w:textAlignment w:val="auto"/>
        <w:outlineLvl w:val="9"/>
        <w:rPr>
          <w:rFonts w:hint="eastAsia" w:ascii="楷体" w:hAnsi="楷体" w:eastAsia="楷体" w:cs="楷体"/>
          <w:color w:val="auto"/>
          <w:sz w:val="32"/>
          <w:szCs w:val="32"/>
          <w:highlight w:val="none"/>
          <w:lang w:val="en" w:eastAsia="zh-CN"/>
        </w:rPr>
      </w:pPr>
      <w:r>
        <w:rPr>
          <w:rFonts w:hint="eastAsia" w:ascii="楷体" w:hAnsi="楷体" w:eastAsia="楷体" w:cs="楷体"/>
          <w:color w:val="auto"/>
          <w:sz w:val="32"/>
          <w:szCs w:val="32"/>
          <w:highlight w:val="none"/>
          <w:lang w:val="en" w:eastAsia="zh-CN"/>
        </w:rPr>
        <w:t>（牵头单位：市发展改革委。责任单位：市政府办公室、市财政局</w:t>
      </w:r>
      <w:r>
        <w:rPr>
          <w:rFonts w:hint="eastAsia" w:eastAsia="楷体_GB2312" w:cs="楷体_GB2312"/>
          <w:color w:val="auto"/>
          <w:sz w:val="32"/>
          <w:szCs w:val="32"/>
          <w:highlight w:val="none"/>
          <w:lang w:val="en" w:eastAsia="zh-CN"/>
        </w:rPr>
        <w:t>、市国资委</w:t>
      </w:r>
      <w:r>
        <w:rPr>
          <w:rFonts w:hint="eastAsia" w:ascii="Times New Roman" w:hAnsi="Times New Roman" w:eastAsia="楷体_GB2312" w:cs="楷体_GB2312"/>
          <w:color w:val="auto"/>
          <w:sz w:val="32"/>
          <w:szCs w:val="32"/>
          <w:highlight w:val="none"/>
          <w:lang w:val="en" w:eastAsia="zh-CN"/>
        </w:rPr>
        <w:t>等相关单位</w:t>
      </w:r>
      <w:r>
        <w:rPr>
          <w:rFonts w:hint="eastAsia" w:eastAsia="楷体_GB2312" w:cs="楷体_GB2312"/>
          <w:color w:val="auto"/>
          <w:sz w:val="32"/>
          <w:szCs w:val="32"/>
          <w:highlight w:val="none"/>
          <w:lang w:val="en" w:eastAsia="zh-CN"/>
        </w:rPr>
        <w:t>，</w:t>
      </w:r>
      <w:r>
        <w:rPr>
          <w:rFonts w:hint="eastAsia" w:ascii="Times New Roman" w:hAnsi="Times New Roman" w:eastAsia="楷体_GB2312" w:cs="楷体_GB2312"/>
          <w:color w:val="auto"/>
          <w:sz w:val="32"/>
          <w:szCs w:val="32"/>
          <w:highlight w:val="none"/>
          <w:lang w:val="en" w:eastAsia="zh-CN"/>
        </w:rPr>
        <w:t>各县区政府</w:t>
      </w:r>
      <w:r>
        <w:rPr>
          <w:rFonts w:hint="eastAsia" w:ascii="楷体" w:hAnsi="楷体" w:eastAsia="楷体" w:cs="楷体"/>
          <w:color w:val="auto"/>
          <w:sz w:val="32"/>
          <w:szCs w:val="32"/>
          <w:highlight w:val="none"/>
          <w:lang w:val="en" w:eastAsia="zh-CN"/>
        </w:rPr>
        <w:t>）</w:t>
      </w:r>
    </w:p>
    <w:p>
      <w:pPr>
        <w:pStyle w:val="2"/>
        <w:rPr>
          <w:rFonts w:hint="eastAsia" w:ascii="仿宋" w:hAnsi="仿宋" w:eastAsia="仿宋" w:cs="仿宋"/>
          <w:color w:val="auto"/>
          <w:sz w:val="32"/>
          <w:szCs w:val="32"/>
          <w:highlight w:val="none"/>
          <w:lang w:val="en-US" w:eastAsia="zh-CN"/>
        </w:rPr>
      </w:pPr>
    </w:p>
    <w:p>
      <w:pPr>
        <w:rPr>
          <w:rFonts w:hint="eastAsia" w:ascii="仿宋" w:hAnsi="仿宋" w:eastAsia="仿宋" w:cs="仿宋"/>
          <w:color w:val="auto"/>
          <w:sz w:val="32"/>
          <w:szCs w:val="32"/>
          <w:highlight w:val="none"/>
          <w:lang w:val="en-US" w:eastAsia="zh-CN"/>
        </w:rPr>
      </w:pPr>
    </w:p>
    <w:p>
      <w:pPr>
        <w:pStyle w:val="2"/>
        <w:rPr>
          <w:rFonts w:hint="eastAsia" w:ascii="仿宋" w:hAnsi="仿宋" w:eastAsia="仿宋" w:cs="仿宋"/>
          <w:color w:val="auto"/>
          <w:sz w:val="32"/>
          <w:szCs w:val="32"/>
          <w:highlight w:val="none"/>
          <w:lang w:val="en-US" w:eastAsia="zh-CN"/>
        </w:rPr>
      </w:pPr>
    </w:p>
    <w:p>
      <w:pPr>
        <w:ind w:firstLine="420" w:firstLineChars="200"/>
        <w:rPr>
          <w:rFonts w:hint="eastAsia"/>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kOWRhOWE3ODUzNTA3ODBiNGIxNDRmZjIwYTY4ZjAifQ=="/>
  </w:docVars>
  <w:rsids>
    <w:rsidRoot w:val="00000000"/>
    <w:rsid w:val="005714C6"/>
    <w:rsid w:val="0075194C"/>
    <w:rsid w:val="01E23011"/>
    <w:rsid w:val="02E1776D"/>
    <w:rsid w:val="03351867"/>
    <w:rsid w:val="036F371A"/>
    <w:rsid w:val="03831236"/>
    <w:rsid w:val="03967699"/>
    <w:rsid w:val="03C82259"/>
    <w:rsid w:val="03F62DA4"/>
    <w:rsid w:val="04F574FF"/>
    <w:rsid w:val="0616597F"/>
    <w:rsid w:val="08955281"/>
    <w:rsid w:val="093A15DA"/>
    <w:rsid w:val="09572537"/>
    <w:rsid w:val="0A03446D"/>
    <w:rsid w:val="0C317521"/>
    <w:rsid w:val="0CE57E5A"/>
    <w:rsid w:val="0CFF34DF"/>
    <w:rsid w:val="0D547F69"/>
    <w:rsid w:val="0D5D20E6"/>
    <w:rsid w:val="0D7F02AE"/>
    <w:rsid w:val="0D9C676A"/>
    <w:rsid w:val="0E0D1416"/>
    <w:rsid w:val="0EFE5203"/>
    <w:rsid w:val="0F4E1CE6"/>
    <w:rsid w:val="0FA02696"/>
    <w:rsid w:val="0FD20B69"/>
    <w:rsid w:val="10854865"/>
    <w:rsid w:val="1088747A"/>
    <w:rsid w:val="109376BC"/>
    <w:rsid w:val="11716160"/>
    <w:rsid w:val="11E61C4B"/>
    <w:rsid w:val="13662F80"/>
    <w:rsid w:val="139F6FB4"/>
    <w:rsid w:val="14EA0703"/>
    <w:rsid w:val="15875F52"/>
    <w:rsid w:val="15A12FAF"/>
    <w:rsid w:val="1666025D"/>
    <w:rsid w:val="168129A1"/>
    <w:rsid w:val="16AD19E8"/>
    <w:rsid w:val="17255A22"/>
    <w:rsid w:val="18116BF3"/>
    <w:rsid w:val="192341E3"/>
    <w:rsid w:val="198F1879"/>
    <w:rsid w:val="19B337B9"/>
    <w:rsid w:val="1A2C531A"/>
    <w:rsid w:val="1E032835"/>
    <w:rsid w:val="1ED02718"/>
    <w:rsid w:val="1F1A3993"/>
    <w:rsid w:val="1F6E53CE"/>
    <w:rsid w:val="1FDC7DEF"/>
    <w:rsid w:val="20093A2E"/>
    <w:rsid w:val="20191E9C"/>
    <w:rsid w:val="20D504B9"/>
    <w:rsid w:val="20E41338"/>
    <w:rsid w:val="20E93F65"/>
    <w:rsid w:val="20EA55E7"/>
    <w:rsid w:val="21325E28"/>
    <w:rsid w:val="217A696B"/>
    <w:rsid w:val="21912FA1"/>
    <w:rsid w:val="21B225A8"/>
    <w:rsid w:val="22DF561F"/>
    <w:rsid w:val="23720241"/>
    <w:rsid w:val="23C6058D"/>
    <w:rsid w:val="23C860B3"/>
    <w:rsid w:val="257F6C45"/>
    <w:rsid w:val="25C66622"/>
    <w:rsid w:val="25C97EC1"/>
    <w:rsid w:val="2610010E"/>
    <w:rsid w:val="2624159B"/>
    <w:rsid w:val="272C0707"/>
    <w:rsid w:val="276E51C4"/>
    <w:rsid w:val="27DB286E"/>
    <w:rsid w:val="282B4E63"/>
    <w:rsid w:val="28333D17"/>
    <w:rsid w:val="290851A4"/>
    <w:rsid w:val="29543E11"/>
    <w:rsid w:val="29AF73CD"/>
    <w:rsid w:val="29CC3D45"/>
    <w:rsid w:val="29D40F75"/>
    <w:rsid w:val="29EE7EF6"/>
    <w:rsid w:val="2A3C5105"/>
    <w:rsid w:val="2A495A74"/>
    <w:rsid w:val="2AEF3F25"/>
    <w:rsid w:val="2B0971E3"/>
    <w:rsid w:val="2B193698"/>
    <w:rsid w:val="2B632B65"/>
    <w:rsid w:val="2B9B22FF"/>
    <w:rsid w:val="2C55425C"/>
    <w:rsid w:val="2CA62D0A"/>
    <w:rsid w:val="2D2D51D9"/>
    <w:rsid w:val="2DAB0707"/>
    <w:rsid w:val="2DBB6EE7"/>
    <w:rsid w:val="2DF87595"/>
    <w:rsid w:val="2ED10AFD"/>
    <w:rsid w:val="30074904"/>
    <w:rsid w:val="304A388A"/>
    <w:rsid w:val="306C426A"/>
    <w:rsid w:val="308717B0"/>
    <w:rsid w:val="30B05F05"/>
    <w:rsid w:val="30C23E8A"/>
    <w:rsid w:val="316118F5"/>
    <w:rsid w:val="31B61C41"/>
    <w:rsid w:val="31EA7E07"/>
    <w:rsid w:val="32990C1B"/>
    <w:rsid w:val="33860D5D"/>
    <w:rsid w:val="33E06345"/>
    <w:rsid w:val="345624BE"/>
    <w:rsid w:val="345A45FF"/>
    <w:rsid w:val="348A4CBF"/>
    <w:rsid w:val="363B44C3"/>
    <w:rsid w:val="36873BAC"/>
    <w:rsid w:val="372F1B4E"/>
    <w:rsid w:val="3736112E"/>
    <w:rsid w:val="37BC4753"/>
    <w:rsid w:val="37CF7A78"/>
    <w:rsid w:val="3801798E"/>
    <w:rsid w:val="381D0C94"/>
    <w:rsid w:val="39F06DAC"/>
    <w:rsid w:val="3B4972B1"/>
    <w:rsid w:val="3B5E2A01"/>
    <w:rsid w:val="3B862684"/>
    <w:rsid w:val="3B892174"/>
    <w:rsid w:val="3C0A2B23"/>
    <w:rsid w:val="3D8E3A72"/>
    <w:rsid w:val="3DC254CA"/>
    <w:rsid w:val="3E7E6961"/>
    <w:rsid w:val="3E886713"/>
    <w:rsid w:val="3EDA411D"/>
    <w:rsid w:val="3EDA6843"/>
    <w:rsid w:val="40330901"/>
    <w:rsid w:val="40460634"/>
    <w:rsid w:val="404B3E9C"/>
    <w:rsid w:val="41A5703A"/>
    <w:rsid w:val="41B8730F"/>
    <w:rsid w:val="41F06AA9"/>
    <w:rsid w:val="4253528A"/>
    <w:rsid w:val="427C033D"/>
    <w:rsid w:val="44641089"/>
    <w:rsid w:val="44827761"/>
    <w:rsid w:val="45154A79"/>
    <w:rsid w:val="45350C77"/>
    <w:rsid w:val="458D5981"/>
    <w:rsid w:val="459C4852"/>
    <w:rsid w:val="45E05087"/>
    <w:rsid w:val="461F5BAF"/>
    <w:rsid w:val="462D355B"/>
    <w:rsid w:val="46CC3DD3"/>
    <w:rsid w:val="46DF70EC"/>
    <w:rsid w:val="47CE2C39"/>
    <w:rsid w:val="48904B42"/>
    <w:rsid w:val="494616A5"/>
    <w:rsid w:val="49802118"/>
    <w:rsid w:val="49A07007"/>
    <w:rsid w:val="4A064990"/>
    <w:rsid w:val="4A7364C9"/>
    <w:rsid w:val="4ACA1E61"/>
    <w:rsid w:val="4AF07B1A"/>
    <w:rsid w:val="4B3317B5"/>
    <w:rsid w:val="4BFE6267"/>
    <w:rsid w:val="4C4E6054"/>
    <w:rsid w:val="4C6D61F7"/>
    <w:rsid w:val="4CD15729"/>
    <w:rsid w:val="4DA34774"/>
    <w:rsid w:val="4E4F6905"/>
    <w:rsid w:val="4E577EB0"/>
    <w:rsid w:val="4E7B76FB"/>
    <w:rsid w:val="4ECD3CCE"/>
    <w:rsid w:val="4EFA2D21"/>
    <w:rsid w:val="4F02606E"/>
    <w:rsid w:val="504D156B"/>
    <w:rsid w:val="50C51101"/>
    <w:rsid w:val="50CD4459"/>
    <w:rsid w:val="519B6306"/>
    <w:rsid w:val="51A72608"/>
    <w:rsid w:val="51F72520"/>
    <w:rsid w:val="520B5239"/>
    <w:rsid w:val="52666914"/>
    <w:rsid w:val="52D7336D"/>
    <w:rsid w:val="52EA12F3"/>
    <w:rsid w:val="536C6901"/>
    <w:rsid w:val="54561DC9"/>
    <w:rsid w:val="550A5C7C"/>
    <w:rsid w:val="556A04C9"/>
    <w:rsid w:val="55754F8D"/>
    <w:rsid w:val="55C0458D"/>
    <w:rsid w:val="55C1239F"/>
    <w:rsid w:val="5612303A"/>
    <w:rsid w:val="569207EE"/>
    <w:rsid w:val="56E00B24"/>
    <w:rsid w:val="57315742"/>
    <w:rsid w:val="5784474C"/>
    <w:rsid w:val="578F2469"/>
    <w:rsid w:val="58DE3534"/>
    <w:rsid w:val="59D625D1"/>
    <w:rsid w:val="59E06FAB"/>
    <w:rsid w:val="5A634509"/>
    <w:rsid w:val="5AAC3465"/>
    <w:rsid w:val="5AB75F5E"/>
    <w:rsid w:val="5B1F705C"/>
    <w:rsid w:val="5B3E042E"/>
    <w:rsid w:val="5B4F74CF"/>
    <w:rsid w:val="5B7138A8"/>
    <w:rsid w:val="5BB26726"/>
    <w:rsid w:val="5C3774BC"/>
    <w:rsid w:val="5C514191"/>
    <w:rsid w:val="5CF74D38"/>
    <w:rsid w:val="5D170190"/>
    <w:rsid w:val="5D752101"/>
    <w:rsid w:val="5DE331B2"/>
    <w:rsid w:val="5E282CCF"/>
    <w:rsid w:val="5EFE2F5D"/>
    <w:rsid w:val="5F073334"/>
    <w:rsid w:val="5F7956B1"/>
    <w:rsid w:val="606049A2"/>
    <w:rsid w:val="60B66CB8"/>
    <w:rsid w:val="60EB4BB4"/>
    <w:rsid w:val="61500EBB"/>
    <w:rsid w:val="620D46B6"/>
    <w:rsid w:val="629E17B2"/>
    <w:rsid w:val="62C76C78"/>
    <w:rsid w:val="632A4FD2"/>
    <w:rsid w:val="63443C65"/>
    <w:rsid w:val="63A31776"/>
    <w:rsid w:val="63F91396"/>
    <w:rsid w:val="64487C27"/>
    <w:rsid w:val="64CC0858"/>
    <w:rsid w:val="65A03AAB"/>
    <w:rsid w:val="66A25A3B"/>
    <w:rsid w:val="67BA708E"/>
    <w:rsid w:val="67C3184F"/>
    <w:rsid w:val="68420814"/>
    <w:rsid w:val="68592AB9"/>
    <w:rsid w:val="68756DEA"/>
    <w:rsid w:val="68A1024E"/>
    <w:rsid w:val="68C301C4"/>
    <w:rsid w:val="69E76134"/>
    <w:rsid w:val="69FC1BE0"/>
    <w:rsid w:val="6A2E3D63"/>
    <w:rsid w:val="6A841BD5"/>
    <w:rsid w:val="6B525830"/>
    <w:rsid w:val="6B686E01"/>
    <w:rsid w:val="6BBD714D"/>
    <w:rsid w:val="6CB57E24"/>
    <w:rsid w:val="6CDD34E0"/>
    <w:rsid w:val="6CF748E0"/>
    <w:rsid w:val="6D3F3B91"/>
    <w:rsid w:val="6D7970A3"/>
    <w:rsid w:val="6D8819DC"/>
    <w:rsid w:val="6DD93FE6"/>
    <w:rsid w:val="6EA36ACE"/>
    <w:rsid w:val="6F9002E3"/>
    <w:rsid w:val="6FCD1928"/>
    <w:rsid w:val="7040659E"/>
    <w:rsid w:val="705B6F34"/>
    <w:rsid w:val="70A26911"/>
    <w:rsid w:val="713003C1"/>
    <w:rsid w:val="713A123F"/>
    <w:rsid w:val="731F693F"/>
    <w:rsid w:val="73CD1EF7"/>
    <w:rsid w:val="745376C6"/>
    <w:rsid w:val="74611500"/>
    <w:rsid w:val="74747820"/>
    <w:rsid w:val="7476258E"/>
    <w:rsid w:val="750B33B4"/>
    <w:rsid w:val="769B7E77"/>
    <w:rsid w:val="76B4114C"/>
    <w:rsid w:val="76EC6B38"/>
    <w:rsid w:val="774A5241"/>
    <w:rsid w:val="77506BDA"/>
    <w:rsid w:val="783E1615"/>
    <w:rsid w:val="783E7867"/>
    <w:rsid w:val="78526E6F"/>
    <w:rsid w:val="799D05BD"/>
    <w:rsid w:val="79D11E36"/>
    <w:rsid w:val="79F20909"/>
    <w:rsid w:val="7A0B5527"/>
    <w:rsid w:val="7A71000D"/>
    <w:rsid w:val="7A721A4A"/>
    <w:rsid w:val="7AC322A6"/>
    <w:rsid w:val="7ADB75EF"/>
    <w:rsid w:val="7B5D0004"/>
    <w:rsid w:val="7BF5648F"/>
    <w:rsid w:val="7C9A0DE4"/>
    <w:rsid w:val="7CA26617"/>
    <w:rsid w:val="7CC04CEF"/>
    <w:rsid w:val="7D060228"/>
    <w:rsid w:val="7D0821F2"/>
    <w:rsid w:val="7D4274B2"/>
    <w:rsid w:val="7D560473"/>
    <w:rsid w:val="7D5F1A6D"/>
    <w:rsid w:val="7D7B0673"/>
    <w:rsid w:val="7DA22646"/>
    <w:rsid w:val="7E1A042F"/>
    <w:rsid w:val="7E5D4D69"/>
    <w:rsid w:val="7EDB1194"/>
    <w:rsid w:val="7EF24F07"/>
    <w:rsid w:val="7F4E65E2"/>
    <w:rsid w:val="7F4F235A"/>
    <w:rsid w:val="7FC22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iPriority="99"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Note Heading"/>
    <w:basedOn w:val="1"/>
    <w:next w:val="1"/>
    <w:unhideWhenUsed/>
    <w:qFormat/>
    <w:uiPriority w:val="99"/>
    <w:pPr>
      <w:jc w:val="center"/>
    </w:pPr>
    <w:rPr>
      <w:rFonts w:eastAsia="仿宋"/>
      <w:sz w:val="36"/>
    </w:rPr>
  </w:style>
  <w:style w:type="paragraph" w:styleId="4">
    <w:name w:val="Normal Indent"/>
    <w:basedOn w:val="1"/>
    <w:next w:val="5"/>
    <w:qFormat/>
    <w:uiPriority w:val="0"/>
    <w:pPr>
      <w:spacing w:before="156" w:beforeLines="50" w:line="360" w:lineRule="auto"/>
    </w:pPr>
    <w:rPr>
      <w:kern w:val="0"/>
      <w:sz w:val="24"/>
    </w:rPr>
  </w:style>
  <w:style w:type="paragraph" w:styleId="5">
    <w:name w:val="Body Text"/>
    <w:basedOn w:val="1"/>
    <w:next w:val="3"/>
    <w:qFormat/>
    <w:uiPriority w:val="0"/>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0"/>
    <w:rPr>
      <w:b/>
      <w:bCs/>
    </w:rPr>
  </w:style>
  <w:style w:type="character" w:styleId="11">
    <w:name w:val="FollowedHyperlink"/>
    <w:basedOn w:val="9"/>
    <w:qFormat/>
    <w:uiPriority w:val="0"/>
    <w:rPr>
      <w:rFonts w:hint="eastAsia" w:ascii="微软雅黑" w:hAnsi="微软雅黑" w:eastAsia="微软雅黑" w:cs="微软雅黑"/>
      <w:color w:val="333333"/>
      <w:u w:val="none"/>
    </w:rPr>
  </w:style>
  <w:style w:type="character" w:styleId="12">
    <w:name w:val="Hyperlink"/>
    <w:basedOn w:val="9"/>
    <w:qFormat/>
    <w:uiPriority w:val="0"/>
    <w:rPr>
      <w:rFonts w:ascii="微软雅黑" w:hAnsi="微软雅黑" w:eastAsia="微软雅黑" w:cs="微软雅黑"/>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4621</Words>
  <Characters>4655</Characters>
  <Lines>0</Lines>
  <Paragraphs>0</Paragraphs>
  <TotalTime>1</TotalTime>
  <ScaleCrop>false</ScaleCrop>
  <LinksUpToDate>false</LinksUpToDate>
  <CharactersWithSpaces>4655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2022-10-24T08:21:00Z</dcterms:created>
  <dc:creator>Administrator</dc:creator>
  <cp:lastModifiedBy>Administrator</cp:lastModifiedBy>
  <cp:lastPrinted>2022-11-09T09:11:26Z</cp:lastPrinted>
  <dcterms:modified xsi:type="dcterms:W3CDTF">2022-11-09T09:11:32Z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78FC4512FA744C6DAC435186B29D2FBA</vt:lpwstr>
  </property>
</Properties>
</file>